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41CFB298"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BE2599">
        <w:fldChar w:fldCharType="begin"/>
      </w:r>
      <w:r w:rsidR="00BE2599">
        <w:instrText xml:space="preserve"> DOCPROPERTY  MtgSeq  \* MERGEFORMAT </w:instrText>
      </w:r>
      <w:r w:rsidR="00BE2599">
        <w:fldChar w:fldCharType="separate"/>
      </w:r>
      <w:r>
        <w:rPr>
          <w:b/>
          <w:noProof/>
          <w:sz w:val="24"/>
        </w:rPr>
        <w:t>1</w:t>
      </w:r>
      <w:r w:rsidR="00BE2599">
        <w:rPr>
          <w:b/>
          <w:noProof/>
          <w:sz w:val="24"/>
        </w:rPr>
        <w:fldChar w:fldCharType="end"/>
      </w:r>
      <w:r w:rsidR="006165E1">
        <w:rPr>
          <w:b/>
          <w:noProof/>
          <w:sz w:val="24"/>
        </w:rPr>
        <w:t>1</w:t>
      </w:r>
      <w:r w:rsidR="00D92D67">
        <w:rPr>
          <w:b/>
          <w:noProof/>
          <w:sz w:val="24"/>
        </w:rPr>
        <w:t>2</w:t>
      </w:r>
      <w:r w:rsidR="00F5659D">
        <w:rPr>
          <w:rFonts w:hint="eastAsia"/>
          <w:b/>
          <w:noProof/>
          <w:sz w:val="24"/>
          <w:lang w:eastAsia="zh-CN"/>
        </w:rPr>
        <w:t>bis</w:t>
      </w:r>
      <w:r>
        <w:rPr>
          <w:b/>
          <w:i/>
          <w:noProof/>
          <w:sz w:val="28"/>
        </w:rPr>
        <w:tab/>
      </w:r>
      <w:r w:rsidR="00BE2599">
        <w:fldChar w:fldCharType="begin"/>
      </w:r>
      <w:r w:rsidR="00BE2599">
        <w:instrText xml:space="preserve"> DOCPROPERTY  Tdoc#  \* MERGEFORMAT </w:instrText>
      </w:r>
      <w:r w:rsidR="00BE2599">
        <w:fldChar w:fldCharType="separate"/>
      </w:r>
      <w:r>
        <w:rPr>
          <w:b/>
          <w:i/>
          <w:noProof/>
          <w:sz w:val="28"/>
        </w:rPr>
        <w:t>R4-2</w:t>
      </w:r>
      <w:r w:rsidR="00BE2599">
        <w:rPr>
          <w:b/>
          <w:i/>
          <w:noProof/>
          <w:sz w:val="28"/>
        </w:rPr>
        <w:fldChar w:fldCharType="end"/>
      </w:r>
      <w:r w:rsidR="006165E1">
        <w:rPr>
          <w:b/>
          <w:i/>
          <w:noProof/>
          <w:sz w:val="28"/>
        </w:rPr>
        <w:t>4</w:t>
      </w:r>
      <w:r w:rsidR="00AA3C9A">
        <w:rPr>
          <w:b/>
          <w:i/>
          <w:noProof/>
          <w:sz w:val="28"/>
        </w:rPr>
        <w:t>16298</w:t>
      </w:r>
      <w:bookmarkStart w:id="0" w:name="_GoBack"/>
      <w:bookmarkEnd w:id="0"/>
    </w:p>
    <w:p w14:paraId="45B6A111" w14:textId="5814B4FB" w:rsidR="00940222" w:rsidRPr="0052514D" w:rsidRDefault="00F5659D"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Hefei, Anhui, China</w:t>
      </w:r>
      <w:r w:rsidR="00940222">
        <w:rPr>
          <w:rFonts w:cs="Arial"/>
          <w:sz w:val="24"/>
          <w:szCs w:val="24"/>
          <w:lang w:eastAsia="zh-CN"/>
        </w:rPr>
        <w:t>, 1</w:t>
      </w:r>
      <w:r>
        <w:rPr>
          <w:rFonts w:cs="Arial"/>
          <w:sz w:val="24"/>
          <w:szCs w:val="24"/>
          <w:lang w:eastAsia="zh-CN"/>
        </w:rPr>
        <w:t>4</w:t>
      </w:r>
      <w:r w:rsidR="00940222" w:rsidRPr="0052514D">
        <w:rPr>
          <w:rFonts w:cs="Arial"/>
          <w:sz w:val="24"/>
          <w:szCs w:val="24"/>
          <w:vertAlign w:val="superscript"/>
          <w:lang w:eastAsia="zh-CN"/>
        </w:rPr>
        <w:t>th</w:t>
      </w:r>
      <w:r w:rsidR="00940222" w:rsidRPr="0052514D">
        <w:rPr>
          <w:rFonts w:cs="Arial"/>
          <w:sz w:val="24"/>
          <w:szCs w:val="24"/>
          <w:lang w:eastAsia="zh-CN"/>
        </w:rPr>
        <w:t xml:space="preserve"> – </w:t>
      </w:r>
      <w:r>
        <w:rPr>
          <w:rFonts w:cs="Arial"/>
          <w:sz w:val="24"/>
          <w:szCs w:val="24"/>
          <w:lang w:eastAsia="zh-CN"/>
        </w:rPr>
        <w:t>18</w:t>
      </w:r>
      <w:r>
        <w:rPr>
          <w:rFonts w:cs="Arial"/>
          <w:sz w:val="24"/>
          <w:szCs w:val="24"/>
          <w:vertAlign w:val="superscript"/>
          <w:lang w:eastAsia="zh-CN"/>
        </w:rPr>
        <w:t>th</w:t>
      </w:r>
      <w:r w:rsidR="00940222">
        <w:rPr>
          <w:rFonts w:cs="Arial"/>
          <w:sz w:val="24"/>
          <w:szCs w:val="24"/>
          <w:lang w:eastAsia="zh-CN"/>
        </w:rPr>
        <w:t xml:space="preserve"> </w:t>
      </w:r>
      <w:r>
        <w:rPr>
          <w:rFonts w:cs="Arial"/>
          <w:sz w:val="24"/>
          <w:szCs w:val="24"/>
          <w:lang w:eastAsia="zh-CN"/>
        </w:rPr>
        <w:t>October</w:t>
      </w:r>
      <w:r w:rsidR="00940222" w:rsidRPr="0052514D">
        <w:rPr>
          <w:rFonts w:cs="Arial"/>
          <w:sz w:val="24"/>
          <w:szCs w:val="24"/>
          <w:lang w:eastAsia="zh-CN"/>
        </w:rPr>
        <w:t>, 2024</w:t>
      </w:r>
    </w:p>
    <w:p w14:paraId="508E45E5" w14:textId="77777777" w:rsidR="00A01ADF" w:rsidRPr="00F5659D" w:rsidRDefault="00A01ADF" w:rsidP="00A01ADF">
      <w:pPr>
        <w:spacing w:after="120"/>
        <w:ind w:left="1985" w:hanging="1985"/>
        <w:rPr>
          <w:rFonts w:ascii="Arial" w:eastAsia="MS Mincho" w:hAnsi="Arial" w:cs="Arial"/>
          <w:b/>
          <w:sz w:val="22"/>
        </w:rPr>
      </w:pPr>
    </w:p>
    <w:p w14:paraId="3F5FBE55" w14:textId="32C20ABA"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BB554C">
        <w:rPr>
          <w:rFonts w:ascii="Arial" w:hAnsi="Arial" w:cs="Arial"/>
          <w:b/>
          <w:sz w:val="22"/>
          <w:szCs w:val="22"/>
        </w:rPr>
        <w:t xml:space="preserve"> Ku-band coexistence studies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1E4AB302"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B554C">
        <w:rPr>
          <w:rFonts w:ascii="Arial" w:hAnsi="Arial" w:cs="Arial"/>
          <w:b/>
          <w:sz w:val="22"/>
          <w:szCs w:val="22"/>
        </w:rPr>
        <w:t>6.9.2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105F4B8F" w:rsidR="00412E23" w:rsidRDefault="00076746" w:rsidP="008B2E9F">
      <w:r>
        <w:t xml:space="preserve">In the </w:t>
      </w:r>
      <w:r w:rsidR="00AA45FC">
        <w:t>RAN4#11</w:t>
      </w:r>
      <w:r w:rsidR="00A0759E">
        <w:t>2</w:t>
      </w:r>
      <w:r w:rsidR="00AA45FC">
        <w:t xml:space="preserve"> </w:t>
      </w:r>
      <w:r w:rsidR="00AA45FC">
        <w:rPr>
          <w:rFonts w:hint="eastAsia"/>
          <w:lang w:eastAsia="zh-CN"/>
        </w:rPr>
        <w:t>meeting</w:t>
      </w:r>
      <w:r w:rsidR="00AA45FC">
        <w:t>, the WF R4-</w:t>
      </w:r>
      <w:r w:rsidR="00A0759E">
        <w:t>2413519 [1] had documented the way forwards for coexistence study</w:t>
      </w:r>
      <w:r w:rsidR="00AA45FC">
        <w:t>. In this paper, the remaining issues will be discussed and the solutions are proposed to further progress the work.</w:t>
      </w:r>
    </w:p>
    <w:p w14:paraId="1B7823D6" w14:textId="5A8F9CF4" w:rsidR="006C0AE1" w:rsidRPr="00790A07" w:rsidRDefault="00727BFD" w:rsidP="006C0AE1">
      <w:pPr>
        <w:pStyle w:val="1"/>
      </w:pPr>
      <w:r>
        <w:t>2</w:t>
      </w:r>
      <w:r w:rsidR="006C0AE1" w:rsidRPr="00790A07">
        <w:tab/>
      </w:r>
      <w:r w:rsidR="001B0673">
        <w:t>Discussions</w:t>
      </w:r>
    </w:p>
    <w:p w14:paraId="3AB78F3C" w14:textId="7F427D45" w:rsidR="00A0759E" w:rsidRDefault="00A0759E" w:rsidP="004932A7">
      <w:pPr>
        <w:rPr>
          <w:lang w:val="sv-SE" w:eastAsia="zh-CN"/>
        </w:rPr>
      </w:pPr>
      <w:r>
        <w:rPr>
          <w:lang w:val="sv-SE" w:eastAsia="zh-CN"/>
        </w:rPr>
        <w:t xml:space="preserve">In </w:t>
      </w:r>
      <w:r w:rsidR="00F47451">
        <w:rPr>
          <w:lang w:val="sv-SE" w:eastAsia="zh-CN"/>
        </w:rPr>
        <w:t>our last contribution</w:t>
      </w:r>
      <w:r w:rsidR="0091510A">
        <w:rPr>
          <w:lang w:val="sv-SE" w:eastAsia="zh-CN"/>
        </w:rPr>
        <w:t xml:space="preserve"> [3]</w:t>
      </w:r>
      <w:r w:rsidR="00F47451">
        <w:rPr>
          <w:lang w:val="sv-SE" w:eastAsia="zh-CN"/>
        </w:rPr>
        <w:t xml:space="preserve">, we proposed to not consider </w:t>
      </w:r>
      <w:r w:rsidR="00A84FB4">
        <w:rPr>
          <w:lang w:val="sv-SE" w:eastAsia="zh-CN"/>
        </w:rPr>
        <w:t>the geographical isolation/separation between TN and NTN networks at the beginning of t</w:t>
      </w:r>
      <w:r w:rsidR="00CF3C59">
        <w:rPr>
          <w:lang w:val="sv-SE" w:eastAsia="zh-CN"/>
        </w:rPr>
        <w:t xml:space="preserve">he co-ex study, considering the NTN device in 14GHz band may not be in the same </w:t>
      </w:r>
      <w:r w:rsidR="00FB5A93">
        <w:rPr>
          <w:lang w:val="sv-SE" w:eastAsia="zh-CN"/>
        </w:rPr>
        <w:t>fform</w:t>
      </w:r>
      <w:r w:rsidR="00CF3C59">
        <w:rPr>
          <w:lang w:val="sv-SE" w:eastAsia="zh-CN"/>
        </w:rPr>
        <w:t xml:space="preserve"> factor as the TN devices.</w:t>
      </w:r>
    </w:p>
    <w:p w14:paraId="7407F662" w14:textId="5F94269A" w:rsidR="00FB5A93" w:rsidRDefault="00FB5A93" w:rsidP="004932A7">
      <w:pPr>
        <w:rPr>
          <w:lang w:val="sv-SE" w:eastAsia="zh-CN"/>
        </w:rPr>
      </w:pPr>
      <w:r w:rsidRPr="00FB5A93">
        <w:rPr>
          <w:b/>
          <w:lang w:val="sv-SE" w:eastAsia="zh-CN"/>
        </w:rPr>
        <w:t>Observation 1</w:t>
      </w:r>
      <w:r>
        <w:rPr>
          <w:lang w:val="sv-SE" w:eastAsia="zh-CN"/>
        </w:rPr>
        <w:t>: The NTN devices in Ku-band is not to re-use the existing TN devices, given the fact that the 15GHz TN network is still under study.</w:t>
      </w:r>
    </w:p>
    <w:p w14:paraId="5199D110" w14:textId="3EB94D4C" w:rsidR="00FB5A93" w:rsidRPr="00FB5A93" w:rsidRDefault="00FB5A93" w:rsidP="004932A7">
      <w:pPr>
        <w:rPr>
          <w:b/>
          <w:lang w:val="sv-SE" w:eastAsia="zh-CN"/>
        </w:rPr>
      </w:pPr>
      <w:r w:rsidRPr="00FB5A93">
        <w:rPr>
          <w:b/>
          <w:lang w:val="sv-SE" w:eastAsia="zh-CN"/>
        </w:rPr>
        <w:t>Proposal 1: To not consider isolation distance or geographical separation between TN and NTN in Ku-band study at the beginning.</w:t>
      </w:r>
    </w:p>
    <w:p w14:paraId="4F1DA145" w14:textId="65D72656" w:rsidR="00A0759E" w:rsidRDefault="00A0759E" w:rsidP="00EF3EFD">
      <w:pPr>
        <w:rPr>
          <w:lang w:val="sv-SE" w:eastAsia="zh-CN"/>
        </w:rPr>
      </w:pPr>
    </w:p>
    <w:p w14:paraId="06C2DD22" w14:textId="274FFD8B" w:rsidR="00EC406E" w:rsidRDefault="00FB5A93" w:rsidP="00EF3EFD">
      <w:pPr>
        <w:rPr>
          <w:lang w:val="sv-SE" w:eastAsia="zh-CN"/>
        </w:rPr>
      </w:pPr>
      <w:r>
        <w:rPr>
          <w:rFonts w:hint="eastAsia"/>
          <w:lang w:val="sv-SE" w:eastAsia="zh-CN"/>
        </w:rPr>
        <w:t xml:space="preserve">In </w:t>
      </w:r>
      <w:r>
        <w:rPr>
          <w:lang w:val="sv-SE" w:eastAsia="zh-CN"/>
        </w:rPr>
        <w:t>our last contribution</w:t>
      </w:r>
      <w:r w:rsidR="0091510A">
        <w:rPr>
          <w:lang w:val="sv-SE" w:eastAsia="zh-CN"/>
        </w:rPr>
        <w:t xml:space="preserve"> [3]</w:t>
      </w:r>
      <w:r>
        <w:rPr>
          <w:lang w:val="sv-SE" w:eastAsia="zh-CN"/>
        </w:rPr>
        <w:t xml:space="preserve">, </w:t>
      </w:r>
      <w:r w:rsidR="00EC406E">
        <w:rPr>
          <w:lang w:val="sv-SE" w:eastAsia="zh-CN"/>
        </w:rPr>
        <w:t>we also proposed to consider a different uplink configurations, including transmission bandwidth, target SNR for Ku-band uplink study. It is because of the 15dB SNR target is from TN network assumptions, which considers the throughput target and modulation target in TN network topology. However, for the Ku-band NTN, given the fact that the uplink will have longer distance between NTN VSAT and NTN SAN, and the target use scenario may have different target S</w:t>
      </w:r>
      <w:r w:rsidR="00942BB3">
        <w:rPr>
          <w:lang w:val="sv-SE" w:eastAsia="zh-CN"/>
        </w:rPr>
        <w:t>NR/throughput for NTN use cases, the SNR target and uplink bandwidth could be assumed differently.</w:t>
      </w:r>
    </w:p>
    <w:p w14:paraId="09E6A742" w14:textId="44D8DED1" w:rsidR="00FB5A93" w:rsidRDefault="00EC406E" w:rsidP="00EF3EFD">
      <w:pPr>
        <w:rPr>
          <w:lang w:val="sv-SE" w:eastAsia="zh-CN"/>
        </w:rPr>
      </w:pPr>
      <w:r w:rsidRPr="00D74964">
        <w:rPr>
          <w:b/>
          <w:lang w:val="sv-SE" w:eastAsia="zh-CN"/>
        </w:rPr>
        <w:t>Observation 2</w:t>
      </w:r>
      <w:r>
        <w:rPr>
          <w:lang w:val="sv-SE" w:eastAsia="zh-CN"/>
        </w:rPr>
        <w:t xml:space="preserve">:  </w:t>
      </w:r>
      <w:r w:rsidR="00D74964">
        <w:rPr>
          <w:lang w:val="sv-SE" w:eastAsia="zh-CN"/>
        </w:rPr>
        <w:t>The SNR target of 15dB was assumed in Rel-17 based on the similar assumption of TN network. And the associated 2RB uplink bandwidth also comes from the link budget from GEO scenario and in FR1-NTN frequencies.</w:t>
      </w:r>
    </w:p>
    <w:p w14:paraId="4EE8DE21" w14:textId="60B1A491" w:rsidR="00D74964" w:rsidRPr="001B0673" w:rsidRDefault="00D74964" w:rsidP="00EF3EFD">
      <w:pPr>
        <w:rPr>
          <w:b/>
          <w:lang w:val="sv-SE" w:eastAsia="zh-CN"/>
        </w:rPr>
      </w:pPr>
      <w:r w:rsidRPr="001B0673">
        <w:rPr>
          <w:b/>
          <w:lang w:val="sv-SE" w:eastAsia="zh-CN"/>
        </w:rPr>
        <w:t xml:space="preserve">Proposal 2: </w:t>
      </w:r>
      <w:r w:rsidR="001B0673" w:rsidRPr="001B0673">
        <w:rPr>
          <w:b/>
          <w:lang w:val="sv-SE" w:eastAsia="zh-CN"/>
        </w:rPr>
        <w:t>The uplink bandwidth and its SNR target in Rel-17 was derived based on FR1-NTN frequencies and TN network assumptions, it can be different based on the input from satellite companies considering different use cases in Ku-band.</w:t>
      </w:r>
    </w:p>
    <w:p w14:paraId="0F99B984" w14:textId="52852491" w:rsidR="00FB5A93" w:rsidRDefault="00FB5A93" w:rsidP="00EF3EFD">
      <w:pPr>
        <w:rPr>
          <w:lang w:val="sv-SE" w:eastAsia="zh-CN"/>
        </w:rPr>
      </w:pPr>
    </w:p>
    <w:p w14:paraId="58D8A60A" w14:textId="593AC1E1" w:rsidR="001B0673" w:rsidRDefault="00893C8A" w:rsidP="00EF3EFD">
      <w:pPr>
        <w:rPr>
          <w:lang w:val="sv-SE" w:eastAsia="zh-CN"/>
        </w:rPr>
      </w:pPr>
      <w:r>
        <w:rPr>
          <w:rFonts w:hint="eastAsia"/>
          <w:lang w:val="sv-SE" w:eastAsia="zh-CN"/>
        </w:rPr>
        <w:t>I</w:t>
      </w:r>
      <w:r>
        <w:rPr>
          <w:lang w:val="sv-SE" w:eastAsia="zh-CN"/>
        </w:rPr>
        <w:t>n the WF[1], the NTN channel model was agreed as following:</w:t>
      </w:r>
    </w:p>
    <w:tbl>
      <w:tblPr>
        <w:tblStyle w:val="a5"/>
        <w:tblW w:w="0" w:type="auto"/>
        <w:tblLook w:val="04A0" w:firstRow="1" w:lastRow="0" w:firstColumn="1" w:lastColumn="0" w:noHBand="0" w:noVBand="1"/>
      </w:tblPr>
      <w:tblGrid>
        <w:gridCol w:w="9629"/>
      </w:tblGrid>
      <w:tr w:rsidR="00893C8A" w14:paraId="208A242B" w14:textId="77777777" w:rsidTr="00893C8A">
        <w:tc>
          <w:tcPr>
            <w:tcW w:w="9629" w:type="dxa"/>
          </w:tcPr>
          <w:p w14:paraId="0D018D71" w14:textId="77777777" w:rsidR="00893C8A" w:rsidRPr="002F51E8" w:rsidRDefault="00893C8A" w:rsidP="00893C8A">
            <w:pPr>
              <w:keepNext/>
              <w:spacing w:after="120" w:line="259" w:lineRule="auto"/>
              <w:rPr>
                <w:rFonts w:ascii="Arial" w:eastAsia="PMingLiU" w:hAnsi="Arial" w:cs="Arial"/>
                <w:sz w:val="22"/>
                <w:szCs w:val="22"/>
                <w:lang w:val="en-US" w:eastAsia="zh-TW"/>
              </w:rPr>
            </w:pPr>
            <w:r w:rsidRPr="002F51E8">
              <w:rPr>
                <w:rFonts w:ascii="Arial" w:eastAsia="PMingLiU" w:hAnsi="Arial" w:cs="Arial"/>
                <w:sz w:val="22"/>
                <w:szCs w:val="22"/>
                <w:lang w:val="en-US" w:eastAsia="zh-TW"/>
              </w:rPr>
              <w:t>For NTN channel model, reuse parameters from TR 38.811 and collect the following missing information:</w:t>
            </w:r>
          </w:p>
          <w:p w14:paraId="0F9BE412" w14:textId="77777777" w:rsidR="00893C8A" w:rsidRPr="00613F1B" w:rsidRDefault="00893C8A" w:rsidP="00893C8A">
            <w:pPr>
              <w:pStyle w:val="a6"/>
              <w:keepNext/>
              <w:widowControl/>
              <w:numPr>
                <w:ilvl w:val="0"/>
                <w:numId w:val="47"/>
              </w:numPr>
              <w:overflowPunct w:val="0"/>
              <w:autoSpaceDE w:val="0"/>
              <w:autoSpaceDN w:val="0"/>
              <w:adjustRightInd w:val="0"/>
              <w:spacing w:before="0" w:after="120" w:line="259" w:lineRule="auto"/>
              <w:ind w:firstLineChars="0"/>
              <w:jc w:val="left"/>
              <w:textAlignment w:val="baseline"/>
              <w:rPr>
                <w:rFonts w:ascii="Arial" w:eastAsia="PMingLiU" w:hAnsi="Arial" w:cs="Arial"/>
                <w:sz w:val="22"/>
                <w:szCs w:val="22"/>
                <w:lang w:eastAsia="zh-TW"/>
              </w:rPr>
            </w:pPr>
            <w:r w:rsidRPr="00613F1B">
              <w:rPr>
                <w:rFonts w:ascii="Arial" w:eastAsia="PMingLiU" w:hAnsi="Arial" w:cs="Arial"/>
                <w:sz w:val="22"/>
                <w:szCs w:val="22"/>
                <w:lang w:eastAsia="zh-TW"/>
              </w:rPr>
              <w:t xml:space="preserve">Shadow fading and clutter loss tables for the reference frequencies </w:t>
            </w:r>
          </w:p>
          <w:p w14:paraId="56EB6B8F" w14:textId="44971FAA" w:rsidR="00893C8A" w:rsidRPr="00893C8A" w:rsidRDefault="00893C8A" w:rsidP="00EF3EFD">
            <w:pPr>
              <w:pStyle w:val="a6"/>
              <w:keepNext/>
              <w:widowControl/>
              <w:numPr>
                <w:ilvl w:val="0"/>
                <w:numId w:val="47"/>
              </w:numPr>
              <w:overflowPunct w:val="0"/>
              <w:autoSpaceDE w:val="0"/>
              <w:autoSpaceDN w:val="0"/>
              <w:adjustRightInd w:val="0"/>
              <w:spacing w:before="0" w:after="120" w:line="259" w:lineRule="auto"/>
              <w:ind w:firstLineChars="0"/>
              <w:jc w:val="left"/>
              <w:textAlignment w:val="baseline"/>
              <w:rPr>
                <w:rFonts w:ascii="Arial" w:eastAsia="PMingLiU" w:hAnsi="Arial" w:cs="Arial"/>
                <w:sz w:val="22"/>
                <w:szCs w:val="22"/>
                <w:lang w:eastAsia="zh-TW"/>
              </w:rPr>
            </w:pPr>
            <w:r w:rsidRPr="00613F1B">
              <w:rPr>
                <w:rFonts w:ascii="Arial" w:eastAsia="PMingLiU" w:hAnsi="Arial" w:cs="Arial"/>
                <w:sz w:val="22"/>
                <w:szCs w:val="22"/>
                <w:lang w:eastAsia="zh-TW"/>
              </w:rPr>
              <w:t>Tropospheric scintillation.</w:t>
            </w:r>
          </w:p>
        </w:tc>
      </w:tr>
    </w:tbl>
    <w:p w14:paraId="3E2CB9AB" w14:textId="12640960" w:rsidR="00893C8A" w:rsidRDefault="00893C8A" w:rsidP="00EF3EFD">
      <w:pPr>
        <w:rPr>
          <w:lang w:val="sv-SE" w:eastAsia="zh-CN"/>
        </w:rPr>
      </w:pPr>
    </w:p>
    <w:p w14:paraId="3DACF582" w14:textId="17E731D9" w:rsidR="00684398" w:rsidRDefault="00684398" w:rsidP="00EF3EFD">
      <w:pPr>
        <w:rPr>
          <w:lang w:val="sv-SE" w:eastAsia="zh-CN"/>
        </w:rPr>
      </w:pPr>
      <w:r>
        <w:rPr>
          <w:lang w:val="sv-SE" w:eastAsia="zh-CN"/>
        </w:rPr>
        <w:t xml:space="preserve">For the clutter loss, in our view, at least the ITU-R Recommendation P.2108 </w:t>
      </w:r>
      <w:r w:rsidR="00843421">
        <w:rPr>
          <w:lang w:val="sv-SE" w:eastAsia="zh-CN"/>
        </w:rPr>
        <w:t xml:space="preserve">[2] </w:t>
      </w:r>
      <w:r>
        <w:rPr>
          <w:lang w:val="sv-SE" w:eastAsia="zh-CN"/>
        </w:rPr>
        <w:t>can be used as a reference.</w:t>
      </w:r>
      <w:r>
        <w:rPr>
          <w:rFonts w:hint="eastAsia"/>
          <w:lang w:val="sv-SE" w:eastAsia="zh-CN"/>
        </w:rPr>
        <w:t xml:space="preserve"> </w:t>
      </w:r>
      <w:r>
        <w:rPr>
          <w:lang w:val="sv-SE" w:eastAsia="zh-CN"/>
        </w:rPr>
        <w:t xml:space="preserve">More specifically, the section </w:t>
      </w:r>
      <w:r w:rsidR="00843421">
        <w:rPr>
          <w:lang w:val="sv-SE" w:eastAsia="zh-CN"/>
        </w:rPr>
        <w:t>3.3 of ITU-R P.2108 can be used for the ’Earth-space and Aeronautical</w:t>
      </w:r>
      <w:r w:rsidR="00737D80">
        <w:rPr>
          <w:lang w:val="sv-SE" w:eastAsia="zh-CN"/>
        </w:rPr>
        <w:t xml:space="preserve"> statistical clutter loss model</w:t>
      </w:r>
      <w:r w:rsidR="00843421">
        <w:rPr>
          <w:lang w:val="sv-SE" w:eastAsia="zh-CN"/>
        </w:rPr>
        <w:t>’</w:t>
      </w:r>
      <w:r w:rsidR="00737D80">
        <w:rPr>
          <w:lang w:val="sv-SE" w:eastAsia="zh-CN"/>
        </w:rPr>
        <w:t>.</w:t>
      </w:r>
    </w:p>
    <w:p w14:paraId="1B7022AF" w14:textId="7E378061" w:rsidR="00737D80" w:rsidRDefault="00737D80" w:rsidP="00EF3EFD">
      <w:pPr>
        <w:rPr>
          <w:lang w:val="sv-SE" w:eastAsia="zh-CN"/>
        </w:rPr>
      </w:pPr>
      <w:r>
        <w:rPr>
          <w:lang w:val="sv-SE" w:eastAsia="zh-CN"/>
        </w:rPr>
        <w:t xml:space="preserve">The corresponding section </w:t>
      </w:r>
      <w:r w:rsidR="003453D1">
        <w:rPr>
          <w:lang w:val="sv-SE" w:eastAsia="zh-CN"/>
        </w:rPr>
        <w:t>is provided below:</w:t>
      </w:r>
    </w:p>
    <w:tbl>
      <w:tblPr>
        <w:tblStyle w:val="a5"/>
        <w:tblW w:w="0" w:type="auto"/>
        <w:tblLook w:val="04A0" w:firstRow="1" w:lastRow="0" w:firstColumn="1" w:lastColumn="0" w:noHBand="0" w:noVBand="1"/>
      </w:tblPr>
      <w:tblGrid>
        <w:gridCol w:w="9629"/>
      </w:tblGrid>
      <w:tr w:rsidR="003453D1" w14:paraId="63FC0F82" w14:textId="77777777" w:rsidTr="003453D1">
        <w:tc>
          <w:tcPr>
            <w:tcW w:w="9629" w:type="dxa"/>
          </w:tcPr>
          <w:p w14:paraId="24D2A48B" w14:textId="77777777" w:rsidR="003453D1" w:rsidRPr="00406551" w:rsidRDefault="003453D1" w:rsidP="003453D1">
            <w:pPr>
              <w:pStyle w:val="2"/>
            </w:pPr>
            <w:r w:rsidRPr="00406551">
              <w:lastRenderedPageBreak/>
              <w:t>3.3</w:t>
            </w:r>
            <w:r w:rsidRPr="00406551">
              <w:tab/>
              <w:t>Earth-space and Aeronautical statistical clutter loss model</w:t>
            </w:r>
          </w:p>
          <w:p w14:paraId="3FFF4149" w14:textId="77777777" w:rsidR="003453D1" w:rsidRPr="00406551" w:rsidRDefault="003453D1" w:rsidP="003453D1">
            <w:r w:rsidRPr="00406551">
              <w:t>This section provides equations to calculate the statistical distribution of clutter loss where one end of the interference path is within man-made clutter, and the other is a satellite, aeroplane, or other platform above the surface of the Earth.</w:t>
            </w:r>
          </w:p>
          <w:p w14:paraId="3E7870BA" w14:textId="77777777" w:rsidR="003453D1" w:rsidRPr="00406551" w:rsidRDefault="003453D1" w:rsidP="003453D1">
            <w:r w:rsidRPr="00406551">
              <w:t>An additional loss,</w:t>
            </w:r>
            <w:r w:rsidRPr="00406551">
              <w:rPr>
                <w:i/>
              </w:rPr>
              <w:t xml:space="preserve"> L</w:t>
            </w:r>
            <w:r w:rsidRPr="00406551">
              <w:rPr>
                <w:i/>
                <w:vertAlign w:val="subscript"/>
              </w:rPr>
              <w:t>ces</w:t>
            </w:r>
            <w:r w:rsidRPr="00406551">
              <w:t xml:space="preserve">, is calculated which can be added to the basic transmission loss of a path calculated. </w:t>
            </w:r>
          </w:p>
          <w:p w14:paraId="2D8955EE" w14:textId="77777777" w:rsidR="003453D1" w:rsidRPr="00406551" w:rsidRDefault="003453D1" w:rsidP="003453D1">
            <w:r w:rsidRPr="00406551">
              <w:t xml:space="preserve">This model is applicable to urban and suburban environments. The method used to develop this model </w:t>
            </w:r>
            <w:r>
              <w:t>is described in Report ITU-R P.2402-0</w:t>
            </w:r>
            <w:r w:rsidRPr="00406551">
              <w:t>.</w:t>
            </w:r>
          </w:p>
          <w:p w14:paraId="08B25472" w14:textId="77777777" w:rsidR="003453D1" w:rsidRPr="00406551" w:rsidRDefault="003453D1" w:rsidP="003453D1">
            <w:r w:rsidRPr="00D44D13">
              <w:rPr>
                <w:bCs/>
              </w:rPr>
              <w:t>Frequency range:</w:t>
            </w:r>
            <w:r w:rsidRPr="00D44D13">
              <w:rPr>
                <w:bCs/>
              </w:rPr>
              <w:tab/>
            </w:r>
            <w:r w:rsidRPr="00D44D13">
              <w:rPr>
                <w:bCs/>
              </w:rPr>
              <w:tab/>
            </w:r>
            <w:r w:rsidRPr="00D44D13">
              <w:rPr>
                <w:bCs/>
              </w:rPr>
              <w:tab/>
            </w:r>
            <w:r w:rsidRPr="00406551">
              <w:t>10 to 100 GHz</w:t>
            </w:r>
          </w:p>
          <w:p w14:paraId="3C5E49BE" w14:textId="77777777" w:rsidR="003453D1" w:rsidRPr="00406551" w:rsidRDefault="003453D1" w:rsidP="003453D1">
            <w:r w:rsidRPr="00D44D13">
              <w:rPr>
                <w:bCs/>
              </w:rPr>
              <w:t>Elevation angle range:</w:t>
            </w:r>
            <w:r w:rsidRPr="00D44D13">
              <w:rPr>
                <w:bCs/>
              </w:rPr>
              <w:tab/>
            </w:r>
            <w:r>
              <w:rPr>
                <w:bCs/>
              </w:rPr>
              <w:tab/>
            </w:r>
            <w:r w:rsidRPr="00406551">
              <w:t>0 to 90 degrees</w:t>
            </w:r>
          </w:p>
          <w:p w14:paraId="083FDDEF" w14:textId="77777777" w:rsidR="003453D1" w:rsidRPr="00406551" w:rsidRDefault="003453D1" w:rsidP="003453D1">
            <w:r w:rsidRPr="00D44D13">
              <w:t>Percentage locations range:</w:t>
            </w:r>
            <w:r w:rsidRPr="00D44D13">
              <w:tab/>
            </w:r>
            <w:r w:rsidRPr="00406551">
              <w:t xml:space="preserve">0 &lt; </w:t>
            </w:r>
            <w:r w:rsidRPr="00406551">
              <w:rPr>
                <w:i/>
                <w:iCs/>
              </w:rPr>
              <w:t>p</w:t>
            </w:r>
            <w:r w:rsidRPr="00406551">
              <w:t xml:space="preserve"> &lt; 100</w:t>
            </w:r>
          </w:p>
          <w:p w14:paraId="1531E07C" w14:textId="77777777" w:rsidR="003453D1" w:rsidRPr="00406551" w:rsidRDefault="003453D1" w:rsidP="003453D1">
            <w:pPr>
              <w:pStyle w:val="3"/>
            </w:pPr>
            <w:r w:rsidRPr="00406551">
              <w:t>3.3.1</w:t>
            </w:r>
            <w:r w:rsidRPr="00406551">
              <w:tab/>
              <w:t>Input parameters</w:t>
            </w:r>
          </w:p>
          <w:p w14:paraId="357DB38A" w14:textId="77777777" w:rsidR="003453D1" w:rsidRPr="00406551" w:rsidRDefault="003453D1" w:rsidP="003453D1">
            <w:r w:rsidRPr="00406551">
              <w:t>Input parameters are given in Table 5.</w:t>
            </w:r>
          </w:p>
          <w:p w14:paraId="325D7B57" w14:textId="77777777" w:rsidR="003453D1" w:rsidRPr="00406551" w:rsidRDefault="003453D1" w:rsidP="003453D1">
            <w:pPr>
              <w:pStyle w:val="TableNo"/>
              <w:spacing w:before="240"/>
              <w:rPr>
                <w:lang w:val="en-GB"/>
              </w:rPr>
            </w:pPr>
            <w:r w:rsidRPr="00406551">
              <w:rPr>
                <w:lang w:val="en-GB"/>
              </w:rPr>
              <w:t>TABLE 5</w:t>
            </w:r>
          </w:p>
          <w:p w14:paraId="47519A03" w14:textId="77777777" w:rsidR="003453D1" w:rsidRPr="00406551" w:rsidRDefault="003453D1" w:rsidP="003453D1">
            <w:pPr>
              <w:pStyle w:val="Tabletitle"/>
              <w:ind w:firstLine="400"/>
              <w:rPr>
                <w:lang w:val="en-GB"/>
              </w:rPr>
            </w:pPr>
            <w:r w:rsidRPr="00406551">
              <w:rPr>
                <w:lang w:val="en-GB"/>
              </w:rPr>
              <w:t>Earth-space clutter loss model input parameters</w:t>
            </w:r>
          </w:p>
          <w:tbl>
            <w:tblPr>
              <w:tblW w:w="5946" w:type="dxa"/>
              <w:jc w:val="center"/>
              <w:tblCellMar>
                <w:left w:w="107" w:type="dxa"/>
                <w:right w:w="107" w:type="dxa"/>
              </w:tblCellMar>
              <w:tblLook w:val="0000" w:firstRow="0" w:lastRow="0" w:firstColumn="0" w:lastColumn="0" w:noHBand="0" w:noVBand="0"/>
            </w:tblPr>
            <w:tblGrid>
              <w:gridCol w:w="3119"/>
              <w:gridCol w:w="1276"/>
              <w:gridCol w:w="1551"/>
            </w:tblGrid>
            <w:tr w:rsidR="003453D1" w:rsidRPr="009F0619" w14:paraId="008DB40A"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208E4407" w14:textId="77777777" w:rsidR="003453D1" w:rsidRPr="009F0619" w:rsidRDefault="003453D1" w:rsidP="003453D1">
                  <w:pPr>
                    <w:pStyle w:val="Tablehead"/>
                  </w:pPr>
                  <w:r w:rsidRPr="009F0619">
                    <w:t>Input</w:t>
                  </w:r>
                </w:p>
              </w:tc>
              <w:tc>
                <w:tcPr>
                  <w:tcW w:w="1276" w:type="dxa"/>
                  <w:tcBorders>
                    <w:top w:val="single" w:sz="6" w:space="0" w:color="auto"/>
                    <w:left w:val="single" w:sz="6" w:space="0" w:color="auto"/>
                    <w:bottom w:val="single" w:sz="6" w:space="0" w:color="auto"/>
                    <w:right w:val="single" w:sz="6" w:space="0" w:color="auto"/>
                  </w:tcBorders>
                </w:tcPr>
                <w:p w14:paraId="0CD47958" w14:textId="77777777" w:rsidR="003453D1" w:rsidRPr="009F0619" w:rsidRDefault="003453D1" w:rsidP="003453D1">
                  <w:pPr>
                    <w:pStyle w:val="Tablehead"/>
                  </w:pPr>
                  <w:r w:rsidRPr="009F0619">
                    <w:t>Symbol</w:t>
                  </w:r>
                </w:p>
              </w:tc>
              <w:tc>
                <w:tcPr>
                  <w:tcW w:w="1551" w:type="dxa"/>
                  <w:tcBorders>
                    <w:top w:val="single" w:sz="6" w:space="0" w:color="auto"/>
                    <w:left w:val="single" w:sz="6" w:space="0" w:color="auto"/>
                    <w:bottom w:val="single" w:sz="6" w:space="0" w:color="auto"/>
                    <w:right w:val="single" w:sz="6" w:space="0" w:color="auto"/>
                  </w:tcBorders>
                </w:tcPr>
                <w:p w14:paraId="4E3FCC4E" w14:textId="77777777" w:rsidR="003453D1" w:rsidRPr="009F0619" w:rsidRDefault="003453D1" w:rsidP="003453D1">
                  <w:pPr>
                    <w:pStyle w:val="Tablehead"/>
                  </w:pPr>
                  <w:r w:rsidRPr="009F0619">
                    <w:t>Unit</w:t>
                  </w:r>
                </w:p>
              </w:tc>
            </w:tr>
            <w:tr w:rsidR="003453D1" w:rsidRPr="00244E51" w14:paraId="71E883E9"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5740A618" w14:textId="77777777" w:rsidR="003453D1" w:rsidRPr="00244E51" w:rsidRDefault="003453D1" w:rsidP="003453D1">
                  <w:pPr>
                    <w:pStyle w:val="Tabletext"/>
                  </w:pPr>
                  <w:r w:rsidRPr="00244E51">
                    <w:t>Frequency</w:t>
                  </w:r>
                </w:p>
              </w:tc>
              <w:tc>
                <w:tcPr>
                  <w:tcW w:w="1276" w:type="dxa"/>
                  <w:tcBorders>
                    <w:top w:val="single" w:sz="6" w:space="0" w:color="auto"/>
                    <w:left w:val="single" w:sz="6" w:space="0" w:color="auto"/>
                    <w:bottom w:val="single" w:sz="6" w:space="0" w:color="auto"/>
                    <w:right w:val="single" w:sz="6" w:space="0" w:color="auto"/>
                  </w:tcBorders>
                </w:tcPr>
                <w:p w14:paraId="6630C4FA" w14:textId="77777777" w:rsidR="003453D1" w:rsidRPr="00244E51" w:rsidRDefault="003453D1" w:rsidP="003453D1">
                  <w:pPr>
                    <w:pStyle w:val="Tabletext"/>
                    <w:jc w:val="center"/>
                    <w:rPr>
                      <w:i/>
                    </w:rPr>
                  </w:pPr>
                  <w:r w:rsidRPr="00244E51">
                    <w:rPr>
                      <w:i/>
                    </w:rPr>
                    <w:t>f</w:t>
                  </w:r>
                </w:p>
              </w:tc>
              <w:tc>
                <w:tcPr>
                  <w:tcW w:w="1551" w:type="dxa"/>
                  <w:tcBorders>
                    <w:top w:val="single" w:sz="6" w:space="0" w:color="auto"/>
                    <w:left w:val="single" w:sz="6" w:space="0" w:color="auto"/>
                    <w:bottom w:val="single" w:sz="6" w:space="0" w:color="auto"/>
                    <w:right w:val="single" w:sz="6" w:space="0" w:color="auto"/>
                  </w:tcBorders>
                </w:tcPr>
                <w:p w14:paraId="7801A374" w14:textId="77777777" w:rsidR="003453D1" w:rsidRPr="00244E51" w:rsidRDefault="003453D1" w:rsidP="003453D1">
                  <w:pPr>
                    <w:pStyle w:val="Tabletext"/>
                    <w:jc w:val="center"/>
                  </w:pPr>
                  <w:r w:rsidRPr="00244E51">
                    <w:t>GHz</w:t>
                  </w:r>
                </w:p>
              </w:tc>
            </w:tr>
            <w:tr w:rsidR="003453D1" w:rsidRPr="00244E51" w14:paraId="55CE13E3"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00197BB5" w14:textId="77777777" w:rsidR="003453D1" w:rsidRPr="00244E51" w:rsidRDefault="003453D1" w:rsidP="003453D1">
                  <w:pPr>
                    <w:pStyle w:val="Tabletext"/>
                  </w:pPr>
                  <w:r>
                    <w:t>Elevation angle</w:t>
                  </w:r>
                </w:p>
              </w:tc>
              <w:tc>
                <w:tcPr>
                  <w:tcW w:w="1276" w:type="dxa"/>
                  <w:tcBorders>
                    <w:top w:val="single" w:sz="6" w:space="0" w:color="auto"/>
                    <w:left w:val="single" w:sz="6" w:space="0" w:color="auto"/>
                    <w:bottom w:val="single" w:sz="6" w:space="0" w:color="auto"/>
                    <w:right w:val="single" w:sz="6" w:space="0" w:color="auto"/>
                  </w:tcBorders>
                </w:tcPr>
                <w:p w14:paraId="6CAB7E2E" w14:textId="77777777" w:rsidR="003453D1" w:rsidRPr="00755B92" w:rsidRDefault="003453D1" w:rsidP="003453D1">
                  <w:pPr>
                    <w:pStyle w:val="Tabletext"/>
                    <w:jc w:val="center"/>
                    <w:rPr>
                      <w:iCs/>
                    </w:rPr>
                  </w:pPr>
                  <w:r w:rsidRPr="00755B92">
                    <w:rPr>
                      <w:iCs/>
                    </w:rPr>
                    <w:t>θ</w:t>
                  </w:r>
                </w:p>
              </w:tc>
              <w:tc>
                <w:tcPr>
                  <w:tcW w:w="1551" w:type="dxa"/>
                  <w:tcBorders>
                    <w:top w:val="single" w:sz="6" w:space="0" w:color="auto"/>
                    <w:left w:val="single" w:sz="6" w:space="0" w:color="auto"/>
                    <w:bottom w:val="single" w:sz="6" w:space="0" w:color="auto"/>
                    <w:right w:val="single" w:sz="6" w:space="0" w:color="auto"/>
                  </w:tcBorders>
                </w:tcPr>
                <w:p w14:paraId="0A14AA18" w14:textId="77777777" w:rsidR="003453D1" w:rsidRPr="00244E51" w:rsidRDefault="003453D1" w:rsidP="003453D1">
                  <w:pPr>
                    <w:pStyle w:val="Tabletext"/>
                    <w:jc w:val="center"/>
                  </w:pPr>
                  <w:r>
                    <w:t>degrees</w:t>
                  </w:r>
                </w:p>
              </w:tc>
            </w:tr>
            <w:tr w:rsidR="003453D1" w:rsidRPr="00244E51" w14:paraId="1C43F390"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5DDDDC01" w14:textId="77777777" w:rsidR="003453D1" w:rsidRPr="00244E51" w:rsidRDefault="003453D1" w:rsidP="003453D1">
                  <w:pPr>
                    <w:pStyle w:val="Tabletext"/>
                  </w:pPr>
                  <w:r>
                    <w:t>Percentage of locations</w:t>
                  </w:r>
                </w:p>
              </w:tc>
              <w:tc>
                <w:tcPr>
                  <w:tcW w:w="1276" w:type="dxa"/>
                  <w:tcBorders>
                    <w:top w:val="single" w:sz="6" w:space="0" w:color="auto"/>
                    <w:left w:val="single" w:sz="6" w:space="0" w:color="auto"/>
                    <w:bottom w:val="single" w:sz="6" w:space="0" w:color="auto"/>
                    <w:right w:val="single" w:sz="6" w:space="0" w:color="auto"/>
                  </w:tcBorders>
                </w:tcPr>
                <w:p w14:paraId="234E0BD3" w14:textId="77777777" w:rsidR="003453D1" w:rsidRPr="00244E51" w:rsidRDefault="003453D1" w:rsidP="003453D1">
                  <w:pPr>
                    <w:pStyle w:val="Tabletext"/>
                    <w:jc w:val="center"/>
                    <w:rPr>
                      <w:i/>
                    </w:rPr>
                  </w:pPr>
                  <w:r>
                    <w:rPr>
                      <w:i/>
                    </w:rPr>
                    <w:t>p</w:t>
                  </w:r>
                </w:p>
              </w:tc>
              <w:tc>
                <w:tcPr>
                  <w:tcW w:w="1551" w:type="dxa"/>
                  <w:tcBorders>
                    <w:top w:val="single" w:sz="6" w:space="0" w:color="auto"/>
                    <w:left w:val="single" w:sz="6" w:space="0" w:color="auto"/>
                    <w:bottom w:val="single" w:sz="6" w:space="0" w:color="auto"/>
                    <w:right w:val="single" w:sz="6" w:space="0" w:color="auto"/>
                  </w:tcBorders>
                </w:tcPr>
                <w:p w14:paraId="042861FE" w14:textId="77777777" w:rsidR="003453D1" w:rsidRPr="00244E51" w:rsidRDefault="003453D1" w:rsidP="003453D1">
                  <w:pPr>
                    <w:pStyle w:val="Tabletext"/>
                    <w:jc w:val="center"/>
                  </w:pPr>
                  <w:r>
                    <w:t>%</w:t>
                  </w:r>
                </w:p>
              </w:tc>
            </w:tr>
          </w:tbl>
          <w:p w14:paraId="75E3AE2E" w14:textId="77777777" w:rsidR="003453D1" w:rsidRDefault="003453D1" w:rsidP="003453D1">
            <w:pPr>
              <w:pStyle w:val="Tablefin"/>
            </w:pPr>
          </w:p>
          <w:p w14:paraId="3A9E16DE" w14:textId="77777777" w:rsidR="003453D1" w:rsidRPr="00244E51" w:rsidRDefault="003453D1" w:rsidP="003453D1">
            <w:pPr>
              <w:pStyle w:val="3"/>
            </w:pPr>
            <w:r>
              <w:t>3.3</w:t>
            </w:r>
            <w:r w:rsidRPr="00244E51">
              <w:t>.2</w:t>
            </w:r>
            <w:r w:rsidRPr="00244E51">
              <w:tab/>
            </w:r>
            <w:r w:rsidRPr="0059067D">
              <w:t>Model</w:t>
            </w:r>
            <w:r w:rsidRPr="00244E51">
              <w:t xml:space="preserve"> description</w:t>
            </w:r>
          </w:p>
          <w:p w14:paraId="5DE01BBD" w14:textId="77777777" w:rsidR="003453D1" w:rsidRPr="00406551" w:rsidRDefault="003453D1" w:rsidP="003453D1">
            <w:pPr>
              <w:rPr>
                <w:lang w:eastAsia="zh-CN"/>
              </w:rPr>
            </w:pPr>
            <w:r w:rsidRPr="00406551">
              <w:rPr>
                <w:lang w:eastAsia="zh-CN"/>
              </w:rPr>
              <w:t xml:space="preserve">The clutter loss not exceeded for </w:t>
            </w:r>
            <w:r w:rsidRPr="00A51F15">
              <w:rPr>
                <w:i/>
                <w:iCs/>
                <w:lang w:eastAsia="zh-CN"/>
              </w:rPr>
              <w:t>p</w:t>
            </w:r>
            <w:r w:rsidRPr="00406551">
              <w:rPr>
                <w:lang w:eastAsia="zh-CN"/>
              </w:rPr>
              <w:t xml:space="preserve">% of locations </w:t>
            </w:r>
            <w:r w:rsidRPr="00406551">
              <w:rPr>
                <w:i/>
                <w:szCs w:val="24"/>
              </w:rPr>
              <w:t>L</w:t>
            </w:r>
            <w:r w:rsidRPr="00406551">
              <w:rPr>
                <w:szCs w:val="24"/>
                <w:vertAlign w:val="subscript"/>
              </w:rPr>
              <w:t>ces</w:t>
            </w:r>
            <w:r w:rsidRPr="00406551">
              <w:rPr>
                <w:lang w:eastAsia="zh-CN"/>
              </w:rPr>
              <w:t xml:space="preserve"> for the terrestrial to airborne or satellite path is given by:</w:t>
            </w:r>
          </w:p>
          <w:p w14:paraId="7994FA5F" w14:textId="77777777" w:rsidR="003453D1" w:rsidRPr="00755B92" w:rsidRDefault="003453D1" w:rsidP="003453D1">
            <w:pPr>
              <w:pStyle w:val="MTDisplayEquation"/>
              <w:jc w:val="center"/>
              <w:rPr>
                <w:lang w:val="de-CH"/>
              </w:rPr>
            </w:pPr>
            <w:r>
              <w:tab/>
            </w:r>
            <m:oMath>
              <m:sSub>
                <m:sSubPr>
                  <m:ctrlPr>
                    <w:rPr>
                      <w:rFonts w:ascii="Cambria Math" w:hAnsi="Cambria Math"/>
                      <w:i/>
                    </w:rPr>
                  </m:ctrlPr>
                </m:sSubPr>
                <m:e>
                  <m:r>
                    <w:rPr>
                      <w:rFonts w:ascii="Cambria Math" w:hAnsi="Cambria Math"/>
                    </w:rPr>
                    <m:t>L</m:t>
                  </m:r>
                </m:e>
                <m:sub>
                  <m:r>
                    <w:rPr>
                      <w:rFonts w:ascii="Cambria Math" w:hAnsi="Cambria Math"/>
                    </w:rPr>
                    <m:t>ces</m:t>
                  </m:r>
                </m:sub>
              </m:sSub>
              <m:r>
                <w:rPr>
                  <w:rFonts w:ascii="Cambria Math" w:hAnsi="Cambria Math"/>
                  <w:lang w:val="de-C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lang w:val="de-CH"/>
                        </w:rPr>
                        <m:t>-</m:t>
                      </m:r>
                      <m:sSub>
                        <m:sSubPr>
                          <m:ctrlPr>
                            <w:rPr>
                              <w:rFonts w:ascii="Cambria Math" w:hAnsi="Cambria Math"/>
                              <w:i/>
                            </w:rPr>
                          </m:ctrlPr>
                        </m:sSubPr>
                        <m:e>
                          <m:r>
                            <w:rPr>
                              <w:rFonts w:ascii="Cambria Math" w:hAnsi="Cambria Math"/>
                            </w:rPr>
                            <m:t>K</m:t>
                          </m:r>
                        </m:e>
                        <m:sub>
                          <m:r>
                            <w:rPr>
                              <w:rFonts w:ascii="Cambria Math" w:hAnsi="Cambria Math"/>
                              <w:lang w:val="de-CH"/>
                            </w:rPr>
                            <m:t>1</m:t>
                          </m:r>
                        </m:sub>
                      </m:sSub>
                      <m:d>
                        <m:dPr>
                          <m:begChr m:val="["/>
                          <m:endChr m:val="]"/>
                          <m:ctrlPr>
                            <w:rPr>
                              <w:rFonts w:ascii="Cambria Math" w:hAnsi="Cambria Math"/>
                              <w:i/>
                            </w:rPr>
                          </m:ctrlPr>
                        </m:dPr>
                        <m:e>
                          <m:r>
                            <m:rPr>
                              <m:sty m:val="p"/>
                            </m:rPr>
                            <w:rPr>
                              <w:rFonts w:ascii="Cambria Math" w:hAnsi="Cambria Math"/>
                              <w:lang w:val="de-CH"/>
                            </w:rPr>
                            <m:t>ln</m:t>
                          </m:r>
                          <m:d>
                            <m:dPr>
                              <m:ctrlPr>
                                <w:rPr>
                                  <w:rFonts w:ascii="Cambria Math" w:hAnsi="Cambria Math"/>
                                  <w:i/>
                                </w:rPr>
                              </m:ctrlPr>
                            </m:dPr>
                            <m:e>
                              <m:r>
                                <w:rPr>
                                  <w:rFonts w:ascii="Cambria Math" w:hAnsi="Cambria Math"/>
                                  <w:lang w:val="de-CH"/>
                                </w:rPr>
                                <m:t>1-</m:t>
                              </m:r>
                              <m:f>
                                <m:fPr>
                                  <m:ctrlPr>
                                    <w:rPr>
                                      <w:rFonts w:ascii="Cambria Math" w:hAnsi="Cambria Math"/>
                                      <w:i/>
                                    </w:rPr>
                                  </m:ctrlPr>
                                </m:fPr>
                                <m:num>
                                  <m:r>
                                    <w:rPr>
                                      <w:rFonts w:ascii="Cambria Math" w:hAnsi="Cambria Math"/>
                                    </w:rPr>
                                    <m:t>p</m:t>
                                  </m:r>
                                </m:num>
                                <m:den>
                                  <m:r>
                                    <w:rPr>
                                      <w:rFonts w:ascii="Cambria Math" w:hAnsi="Cambria Math"/>
                                      <w:lang w:val="de-CH"/>
                                    </w:rPr>
                                    <m:t>100</m:t>
                                  </m:r>
                                </m:den>
                              </m:f>
                            </m:e>
                          </m:d>
                        </m:e>
                      </m:d>
                      <m:r>
                        <m:rPr>
                          <m:sty m:val="p"/>
                        </m:rPr>
                        <w:rPr>
                          <w:rFonts w:ascii="Cambria Math" w:hAnsi="Cambria Math"/>
                          <w:lang w:val="de-CH"/>
                        </w:rPr>
                        <m:t>cot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CH"/>
                                </w:rPr>
                                <m:t>1</m:t>
                              </m:r>
                            </m:sub>
                          </m:sSub>
                          <m:d>
                            <m:dPr>
                              <m:ctrlPr>
                                <w:rPr>
                                  <w:rFonts w:ascii="Cambria Math" w:hAnsi="Cambria Math"/>
                                  <w:i/>
                                </w:rPr>
                              </m:ctrlPr>
                            </m:dPr>
                            <m:e>
                              <m:r>
                                <w:rPr>
                                  <w:rFonts w:ascii="Cambria Math" w:hAnsi="Cambria Math"/>
                                  <w:lang w:val="de-CH"/>
                                </w:rPr>
                                <m:t>1-</m:t>
                              </m:r>
                              <m:f>
                                <m:fPr>
                                  <m:ctrlPr>
                                    <w:rPr>
                                      <w:rFonts w:ascii="Cambria Math" w:hAnsi="Cambria Math"/>
                                      <w:i/>
                                    </w:rPr>
                                  </m:ctrlPr>
                                </m:fPr>
                                <m:num>
                                  <m:r>
                                    <m:rPr>
                                      <m:sty m:val="p"/>
                                    </m:rPr>
                                    <w:rPr>
                                      <w:rFonts w:ascii="Cambria Math" w:hAnsi="Cambria Math"/>
                                    </w:rPr>
                                    <m:t>θ</m:t>
                                  </m:r>
                                </m:num>
                                <m:den>
                                  <m:r>
                                    <w:rPr>
                                      <w:rFonts w:ascii="Cambria Math" w:hAnsi="Cambria Math"/>
                                      <w:lang w:val="de-CH"/>
                                    </w:rPr>
                                    <m:t>90</m:t>
                                  </m:r>
                                </m:den>
                              </m:f>
                            </m:e>
                          </m:d>
                          <m:r>
                            <w:rPr>
                              <w:rFonts w:ascii="Cambria Math" w:hAnsi="Cambria Math"/>
                              <w:lang w:val="de-CH"/>
                            </w:rPr>
                            <m:t>+</m:t>
                          </m:r>
                          <m:f>
                            <m:fPr>
                              <m:ctrlPr>
                                <w:rPr>
                                  <w:rFonts w:ascii="Cambria Math" w:hAnsi="Cambria Math"/>
                                  <w:i/>
                                </w:rPr>
                              </m:ctrlPr>
                            </m:fPr>
                            <m:num>
                              <m:r>
                                <m:rPr>
                                  <m:sty m:val="p"/>
                                </m:rPr>
                                <w:rPr>
                                  <w:rFonts w:ascii="Cambria Math" w:hAnsi="Cambria Math"/>
                                </w:rPr>
                                <m:t>πθ</m:t>
                              </m:r>
                            </m:num>
                            <m:den>
                              <m:r>
                                <w:rPr>
                                  <w:rFonts w:ascii="Cambria Math" w:hAnsi="Cambria Math"/>
                                  <w:lang w:val="de-CH"/>
                                </w:rPr>
                                <m:t>180</m:t>
                              </m:r>
                            </m:den>
                          </m:f>
                        </m:e>
                      </m:d>
                    </m:e>
                  </m:d>
                </m:e>
                <m:sup>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lang w:val="de-CH"/>
                            </w:rPr>
                            <m:t>0.5</m:t>
                          </m:r>
                          <m:d>
                            <m:dPr>
                              <m:ctrlPr>
                                <w:rPr>
                                  <w:rFonts w:ascii="Cambria Math" w:hAnsi="Cambria Math"/>
                                  <w:i/>
                                </w:rPr>
                              </m:ctrlPr>
                            </m:dPr>
                            <m:e>
                              <m:r>
                                <w:rPr>
                                  <w:rFonts w:ascii="Cambria Math" w:hAnsi="Cambria Math"/>
                                  <w:lang w:val="de-CH"/>
                                </w:rPr>
                                <m:t>90-</m:t>
                              </m:r>
                              <m:r>
                                <m:rPr>
                                  <m:sty m:val="p"/>
                                </m:rPr>
                                <w:rPr>
                                  <w:rFonts w:ascii="Cambria Math" w:hAnsi="Cambria Math"/>
                                </w:rPr>
                                <m:t>θ</m:t>
                              </m:r>
                            </m:e>
                          </m:d>
                        </m:num>
                        <m:den>
                          <m:r>
                            <w:rPr>
                              <w:rFonts w:ascii="Cambria Math" w:hAnsi="Cambria Math"/>
                              <w:lang w:val="de-CH"/>
                            </w:rPr>
                            <m:t>90</m:t>
                          </m:r>
                        </m:den>
                      </m:f>
                    </m:e>
                  </m:d>
                </m:sup>
              </m:sSup>
              <m:r>
                <w:rPr>
                  <w:rFonts w:ascii="Cambria Math" w:hAnsi="Cambria Math"/>
                  <w:lang w:val="de-CH"/>
                </w:rPr>
                <m:t xml:space="preserve">-1-0.6 </m:t>
              </m:r>
              <m:sSup>
                <m:sSupPr>
                  <m:ctrlPr>
                    <w:rPr>
                      <w:rFonts w:ascii="Cambria Math" w:hAnsi="Cambria Math"/>
                      <w:i/>
                    </w:rPr>
                  </m:ctrlPr>
                </m:sSupPr>
                <m:e>
                  <m:r>
                    <w:rPr>
                      <w:rFonts w:ascii="Cambria Math" w:hAnsi="Cambria Math"/>
                    </w:rPr>
                    <m:t>Q</m:t>
                  </m:r>
                </m:e>
                <m:sup>
                  <m:r>
                    <w:rPr>
                      <w:rFonts w:ascii="Cambria Math" w:hAnsi="Cambria Math"/>
                      <w:lang w:val="de-CH"/>
                    </w:rPr>
                    <m:t>-1</m:t>
                  </m:r>
                </m:sup>
              </m:sSup>
              <m:r>
                <w:rPr>
                  <w:rFonts w:ascii="Cambria Math" w:hAnsi="Cambria Math"/>
                  <w:lang w:val="de-CH"/>
                </w:rPr>
                <m:t>(</m:t>
              </m:r>
              <m:r>
                <w:rPr>
                  <w:rFonts w:ascii="Cambria Math" w:hAnsi="Cambria Math"/>
                </w:rPr>
                <m:t>p</m:t>
              </m:r>
              <m:r>
                <w:rPr>
                  <w:rFonts w:ascii="Cambria Math" w:hAnsi="Cambria Math"/>
                  <w:lang w:val="de-CH"/>
                </w:rPr>
                <m:t>/100)</m:t>
              </m:r>
            </m:oMath>
            <w:r w:rsidRPr="00755B92">
              <w:rPr>
                <w:lang w:val="de-CH"/>
              </w:rPr>
              <w:t xml:space="preserve">  dB</w:t>
            </w:r>
            <w:r w:rsidRPr="00755B92">
              <w:rPr>
                <w:lang w:val="de-CH"/>
              </w:rPr>
              <w:tab/>
              <w:t>(</w:t>
            </w:r>
            <w:r>
              <w:rPr>
                <w:lang w:val="de-CH"/>
              </w:rPr>
              <w:t>7</w:t>
            </w:r>
            <w:r w:rsidRPr="00755B92">
              <w:rPr>
                <w:lang w:val="de-CH"/>
              </w:rPr>
              <w:t>)</w:t>
            </w:r>
          </w:p>
          <w:p w14:paraId="6356111C" w14:textId="77777777" w:rsidR="003453D1" w:rsidRPr="00406551" w:rsidRDefault="003453D1" w:rsidP="003453D1">
            <w:r>
              <w:t>with</w:t>
            </w:r>
          </w:p>
          <w:p w14:paraId="77DB5016" w14:textId="77777777" w:rsidR="003453D1" w:rsidRPr="00406551" w:rsidRDefault="003453D1" w:rsidP="003453D1">
            <w:pPr>
              <w:pStyle w:val="Equation"/>
              <w:spacing w:before="0"/>
              <w:rPr>
                <w:lang w:val="en-GB"/>
              </w:rPr>
            </w:pPr>
            <w:r w:rsidRPr="00406551">
              <w:rPr>
                <w:lang w:val="en-GB"/>
              </w:rPr>
              <w:tab/>
            </w:r>
            <w:r w:rsidRPr="00406551">
              <w:rPr>
                <w:lang w:val="en-GB"/>
              </w:rPr>
              <w:tab/>
            </w:r>
            <m:oMath>
              <m:sSub>
                <m:sSubPr>
                  <m:ctrlPr>
                    <w:rPr>
                      <w:rFonts w:ascii="Cambria Math" w:hAnsi="Cambria Math"/>
                    </w:rPr>
                  </m:ctrlPr>
                </m:sSubPr>
                <m:e>
                  <m:r>
                    <w:rPr>
                      <w:rFonts w:ascii="Cambria Math" w:hAnsi="Cambria Math"/>
                    </w:rPr>
                    <m:t>K</m:t>
                  </m:r>
                </m:e>
                <m:sub>
                  <m:r>
                    <m:rPr>
                      <m:sty m:val="p"/>
                    </m:rPr>
                    <w:rPr>
                      <w:rFonts w:ascii="Cambria Math" w:hAnsi="Cambria Math"/>
                      <w:lang w:val="en-GB"/>
                    </w:rPr>
                    <m:t>1</m:t>
                  </m:r>
                </m:sub>
              </m:sSub>
              <m:r>
                <m:rPr>
                  <m:sty m:val="p"/>
                </m:rPr>
                <w:rPr>
                  <w:rFonts w:ascii="Cambria Math" w:hAnsi="Cambria Math"/>
                  <w:lang w:val="en-GB"/>
                </w:rPr>
                <m:t>=93</m:t>
              </m:r>
              <m:d>
                <m:dPr>
                  <m:ctrlPr>
                    <w:rPr>
                      <w:rFonts w:ascii="Cambria Math" w:hAnsi="Cambria Math"/>
                    </w:rPr>
                  </m:ctrlPr>
                </m:dPr>
                <m:e>
                  <m:sSup>
                    <m:sSupPr>
                      <m:ctrlPr>
                        <w:rPr>
                          <w:rFonts w:ascii="Cambria Math" w:hAnsi="Cambria Math"/>
                        </w:rPr>
                      </m:ctrlPr>
                    </m:sSupPr>
                    <m:e>
                      <m:r>
                        <w:rPr>
                          <w:rFonts w:ascii="Cambria Math" w:hAnsi="Cambria Math"/>
                        </w:rPr>
                        <m:t>f</m:t>
                      </m:r>
                    </m:e>
                    <m:sup>
                      <m:r>
                        <m:rPr>
                          <m:sty m:val="p"/>
                        </m:rPr>
                        <w:rPr>
                          <w:rFonts w:ascii="Cambria Math" w:hAnsi="Cambria Math"/>
                          <w:lang w:val="en-GB"/>
                        </w:rPr>
                        <m:t>0.175</m:t>
                      </m:r>
                    </m:sup>
                  </m:sSup>
                </m:e>
              </m:d>
            </m:oMath>
            <w:r w:rsidRPr="00406551">
              <w:rPr>
                <w:lang w:val="en-GB"/>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lang w:val="en-GB"/>
                    </w:rPr>
                    <m:t>1</m:t>
                  </m:r>
                </m:sub>
              </m:sSub>
              <m:r>
                <m:rPr>
                  <m:sty m:val="p"/>
                </m:rPr>
                <w:rPr>
                  <w:rFonts w:ascii="Cambria Math" w:hAnsi="Cambria Math"/>
                  <w:lang w:val="en-GB"/>
                </w:rPr>
                <m:t>=0.05</m:t>
              </m:r>
            </m:oMath>
          </w:p>
          <w:p w14:paraId="339C51EE" w14:textId="77777777" w:rsidR="003453D1" w:rsidRPr="00406551" w:rsidRDefault="003453D1" w:rsidP="003453D1">
            <w:pPr>
              <w:spacing w:before="240"/>
              <w:rPr>
                <w:szCs w:val="24"/>
              </w:rPr>
            </w:pPr>
            <w:r w:rsidRPr="00406551">
              <w:t xml:space="preserve">where </w:t>
            </w:r>
            <w:r w:rsidRPr="00406551">
              <w:rPr>
                <w:i/>
              </w:rPr>
              <w:t>Q</w:t>
            </w:r>
            <w:r w:rsidRPr="00762099">
              <w:rPr>
                <w:iCs/>
                <w:vertAlign w:val="superscript"/>
              </w:rPr>
              <w:t>–</w:t>
            </w:r>
            <w:r w:rsidRPr="00406551">
              <w:rPr>
                <w:iCs/>
                <w:vertAlign w:val="superscript"/>
              </w:rPr>
              <w:t>1</w:t>
            </w:r>
            <w:r w:rsidRPr="00406551">
              <w:rPr>
                <w:iCs/>
              </w:rPr>
              <w:t>(</w:t>
            </w:r>
            <w:r w:rsidRPr="00406551">
              <w:rPr>
                <w:i/>
              </w:rPr>
              <w:t>p/</w:t>
            </w:r>
            <w:r w:rsidRPr="00406551">
              <w:rPr>
                <w:iCs/>
              </w:rPr>
              <w:t>100)</w:t>
            </w:r>
            <w:r w:rsidRPr="00406551">
              <w:t xml:space="preserve"> is the inverse complementary normal distribution function,</w:t>
            </w:r>
            <w:r w:rsidRPr="00406551">
              <w:rPr>
                <w:szCs w:val="24"/>
              </w:rPr>
              <w:t xml:space="preserve"> and the elevation angle, </w:t>
            </w:r>
            <w:r w:rsidRPr="0059067D">
              <w:rPr>
                <w:rFonts w:ascii="Symbol" w:hAnsi="Symbol"/>
                <w:iCs/>
                <w:szCs w:val="24"/>
              </w:rPr>
              <w:t></w:t>
            </w:r>
            <w:r w:rsidRPr="0059067D">
              <w:rPr>
                <w:iCs/>
                <w:szCs w:val="24"/>
              </w:rPr>
              <w:t>,</w:t>
            </w:r>
            <w:r w:rsidRPr="00406551">
              <w:rPr>
                <w:szCs w:val="24"/>
              </w:rPr>
              <w:t xml:space="preserve"> is the angle of the airborne platform or satellite as seen from the terminal.</w:t>
            </w:r>
          </w:p>
          <w:p w14:paraId="0EFFEDB5" w14:textId="77777777" w:rsidR="003453D1" w:rsidRPr="00406551" w:rsidRDefault="003453D1" w:rsidP="003453D1">
            <w:pPr>
              <w:rPr>
                <w:szCs w:val="24"/>
              </w:rPr>
            </w:pPr>
            <w:r w:rsidRPr="00406551">
              <w:rPr>
                <w:szCs w:val="24"/>
              </w:rPr>
              <w:t>Figure 2 shows the cumulative distribution of clutter loss not exceeded curves for percentage locations at varying elevation angles for 30 GHz.</w:t>
            </w:r>
          </w:p>
          <w:p w14:paraId="0B4EEEDB" w14:textId="77777777" w:rsidR="003453D1" w:rsidRPr="00406551" w:rsidRDefault="003453D1" w:rsidP="003453D1">
            <w:pPr>
              <w:pStyle w:val="FigureNo"/>
              <w:spacing w:before="240"/>
              <w:rPr>
                <w:lang w:val="en-GB"/>
              </w:rPr>
            </w:pPr>
            <w:r w:rsidRPr="00406551">
              <w:rPr>
                <w:lang w:val="en-GB"/>
              </w:rPr>
              <w:t>FIGURE 2</w:t>
            </w:r>
          </w:p>
          <w:p w14:paraId="6E2E0094" w14:textId="77777777" w:rsidR="003453D1" w:rsidRPr="00406551" w:rsidRDefault="003453D1" w:rsidP="003453D1">
            <w:pPr>
              <w:pStyle w:val="Figuretitle"/>
              <w:rPr>
                <w:lang w:val="en-GB"/>
              </w:rPr>
            </w:pPr>
            <w:r w:rsidRPr="00406551">
              <w:rPr>
                <w:lang w:val="en-GB"/>
              </w:rPr>
              <w:t>Cumulative distribution of clutter loss not exceeded for 30 GHz</w:t>
            </w:r>
          </w:p>
          <w:p w14:paraId="75D9105E" w14:textId="77777777" w:rsidR="003453D1" w:rsidRDefault="003453D1" w:rsidP="003453D1">
            <w:pPr>
              <w:pStyle w:val="Figure"/>
              <w:rPr>
                <w:lang w:val="en-GB"/>
              </w:rPr>
            </w:pPr>
            <w:r>
              <w:rPr>
                <w:noProof/>
                <w:lang w:val="en-US" w:eastAsia="zh-CN"/>
              </w:rPr>
              <w:lastRenderedPageBreak/>
              <w:drawing>
                <wp:inline distT="0" distB="0" distL="0" distR="0" wp14:anchorId="2355E7DA" wp14:editId="31AC59DB">
                  <wp:extent cx="4672594" cy="3703328"/>
                  <wp:effectExtent l="0" t="0" r="0" b="0"/>
                  <wp:docPr id="4"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2108-02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72594" cy="3703328"/>
                          </a:xfrm>
                          <a:prstGeom prst="rect">
                            <a:avLst/>
                          </a:prstGeom>
                        </pic:spPr>
                      </pic:pic>
                    </a:graphicData>
                  </a:graphic>
                </wp:inline>
              </w:drawing>
            </w:r>
          </w:p>
          <w:p w14:paraId="3762CA6A" w14:textId="77777777" w:rsidR="003453D1" w:rsidRDefault="003453D1" w:rsidP="00EF3EFD">
            <w:pPr>
              <w:rPr>
                <w:lang w:val="sv-SE" w:eastAsia="zh-CN"/>
              </w:rPr>
            </w:pPr>
          </w:p>
        </w:tc>
      </w:tr>
    </w:tbl>
    <w:p w14:paraId="3244FDD4" w14:textId="43187A9E" w:rsidR="003453D1" w:rsidRDefault="003453D1" w:rsidP="00EF3EFD">
      <w:pPr>
        <w:rPr>
          <w:lang w:val="sv-SE" w:eastAsia="zh-CN"/>
        </w:rPr>
      </w:pPr>
    </w:p>
    <w:p w14:paraId="1D24C742" w14:textId="28F03E46" w:rsidR="003453D1" w:rsidRDefault="003453D1" w:rsidP="00EF3EFD">
      <w:pPr>
        <w:rPr>
          <w:lang w:val="sv-SE" w:eastAsia="zh-CN"/>
        </w:rPr>
      </w:pPr>
      <w:r>
        <w:rPr>
          <w:rFonts w:hint="eastAsia"/>
          <w:lang w:val="sv-SE" w:eastAsia="zh-CN"/>
        </w:rPr>
        <w:t xml:space="preserve">The </w:t>
      </w:r>
      <w:r>
        <w:rPr>
          <w:lang w:val="sv-SE" w:eastAsia="zh-CN"/>
        </w:rPr>
        <w:t xml:space="preserve">above model in section 3.3 of [2] </w:t>
      </w:r>
      <w:r w:rsidR="004922DE">
        <w:rPr>
          <w:lang w:val="sv-SE" w:eastAsia="zh-CN"/>
        </w:rPr>
        <w:t>requires input of frequency, elevation angle and percentage locations, where the input frequency can use the assumed frequency point for co-ex study, the elevation angle can use the derived elevation angle from simulation topology, and the percentage location can use 50% for the purpose of study.</w:t>
      </w:r>
    </w:p>
    <w:p w14:paraId="68DF29D7" w14:textId="56F523A1" w:rsidR="00B3155B" w:rsidRDefault="004922DE" w:rsidP="00EF3EFD">
      <w:pPr>
        <w:rPr>
          <w:lang w:val="sv-SE" w:eastAsia="zh-CN"/>
        </w:rPr>
      </w:pPr>
      <w:r w:rsidRPr="000777F1">
        <w:rPr>
          <w:rFonts w:hint="eastAsia"/>
          <w:b/>
          <w:lang w:val="sv-SE" w:eastAsia="zh-CN"/>
        </w:rPr>
        <w:t>O</w:t>
      </w:r>
      <w:r w:rsidRPr="000777F1">
        <w:rPr>
          <w:b/>
          <w:lang w:val="sv-SE" w:eastAsia="zh-CN"/>
        </w:rPr>
        <w:t>bservation 3</w:t>
      </w:r>
      <w:r>
        <w:rPr>
          <w:lang w:val="sv-SE" w:eastAsia="zh-CN"/>
        </w:rPr>
        <w:t xml:space="preserve">: The section 3.3 of ITU-R P.2108[2] can be used as a reference propagation model for clutter loss in addition to the free space propagation loss of ITU-R P.525, the </w:t>
      </w:r>
      <w:r w:rsidR="000777F1">
        <w:rPr>
          <w:lang w:val="sv-SE" w:eastAsia="zh-CN"/>
        </w:rPr>
        <w:t>input parameters can be derived from simulation topology and the percentage location can be assumed as 50% for the median/average purpose.</w:t>
      </w:r>
    </w:p>
    <w:p w14:paraId="1564B334" w14:textId="4166D37E" w:rsidR="000777F1" w:rsidRDefault="000777F1" w:rsidP="00EF3EFD">
      <w:pPr>
        <w:rPr>
          <w:b/>
          <w:lang w:val="sv-SE" w:eastAsia="zh-CN"/>
        </w:rPr>
      </w:pPr>
      <w:r w:rsidRPr="000777F1">
        <w:rPr>
          <w:rFonts w:hint="eastAsia"/>
          <w:b/>
          <w:lang w:val="sv-SE" w:eastAsia="zh-CN"/>
        </w:rPr>
        <w:t>P</w:t>
      </w:r>
      <w:r w:rsidRPr="000777F1">
        <w:rPr>
          <w:b/>
          <w:lang w:val="sv-SE" w:eastAsia="zh-CN"/>
        </w:rPr>
        <w:t>roposal 3: To use the section 3.3 of ITU-R P.2108-1[2] model for the earth-space (NTN VSAT – SAN) clutter</w:t>
      </w:r>
      <w:r>
        <w:rPr>
          <w:b/>
          <w:lang w:val="sv-SE" w:eastAsia="zh-CN"/>
        </w:rPr>
        <w:t xml:space="preserve"> loss in the study as following. This model is to be used as an addition to the free-space propa</w:t>
      </w:r>
      <w:r w:rsidR="00C3747F">
        <w:rPr>
          <w:b/>
          <w:lang w:val="sv-SE" w:eastAsia="zh-CN"/>
        </w:rPr>
        <w:t>gation loss model for clutter loss.</w:t>
      </w:r>
    </w:p>
    <w:tbl>
      <w:tblPr>
        <w:tblStyle w:val="a5"/>
        <w:tblW w:w="0" w:type="auto"/>
        <w:tblLook w:val="04A0" w:firstRow="1" w:lastRow="0" w:firstColumn="1" w:lastColumn="0" w:noHBand="0" w:noVBand="1"/>
      </w:tblPr>
      <w:tblGrid>
        <w:gridCol w:w="9629"/>
      </w:tblGrid>
      <w:tr w:rsidR="000777F1" w14:paraId="3B85170F" w14:textId="77777777" w:rsidTr="000777F1">
        <w:tc>
          <w:tcPr>
            <w:tcW w:w="9629" w:type="dxa"/>
          </w:tcPr>
          <w:p w14:paraId="51DF2CE5" w14:textId="77777777" w:rsidR="000777F1" w:rsidRPr="00755B92" w:rsidRDefault="000777F1" w:rsidP="000777F1">
            <w:pPr>
              <w:pStyle w:val="MTDisplayEquation"/>
              <w:jc w:val="center"/>
              <w:rPr>
                <w:lang w:val="de-CH"/>
              </w:rPr>
            </w:pPr>
            <w:r>
              <w:tab/>
            </w:r>
            <m:oMath>
              <m:sSub>
                <m:sSubPr>
                  <m:ctrlPr>
                    <w:rPr>
                      <w:rFonts w:ascii="Cambria Math" w:hAnsi="Cambria Math"/>
                      <w:i/>
                    </w:rPr>
                  </m:ctrlPr>
                </m:sSubPr>
                <m:e>
                  <m:r>
                    <w:rPr>
                      <w:rFonts w:ascii="Cambria Math" w:hAnsi="Cambria Math"/>
                    </w:rPr>
                    <m:t>L</m:t>
                  </m:r>
                </m:e>
                <m:sub>
                  <m:r>
                    <w:rPr>
                      <w:rFonts w:ascii="Cambria Math" w:hAnsi="Cambria Math"/>
                    </w:rPr>
                    <m:t>ces</m:t>
                  </m:r>
                </m:sub>
              </m:sSub>
              <m:r>
                <w:rPr>
                  <w:rFonts w:ascii="Cambria Math" w:hAnsi="Cambria Math"/>
                  <w:lang w:val="de-C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lang w:val="de-CH"/>
                        </w:rPr>
                        <m:t>-</m:t>
                      </m:r>
                      <m:sSub>
                        <m:sSubPr>
                          <m:ctrlPr>
                            <w:rPr>
                              <w:rFonts w:ascii="Cambria Math" w:hAnsi="Cambria Math"/>
                              <w:i/>
                            </w:rPr>
                          </m:ctrlPr>
                        </m:sSubPr>
                        <m:e>
                          <m:r>
                            <w:rPr>
                              <w:rFonts w:ascii="Cambria Math" w:hAnsi="Cambria Math"/>
                            </w:rPr>
                            <m:t>K</m:t>
                          </m:r>
                        </m:e>
                        <m:sub>
                          <m:r>
                            <w:rPr>
                              <w:rFonts w:ascii="Cambria Math" w:hAnsi="Cambria Math"/>
                              <w:lang w:val="de-CH"/>
                            </w:rPr>
                            <m:t>1</m:t>
                          </m:r>
                        </m:sub>
                      </m:sSub>
                      <m:d>
                        <m:dPr>
                          <m:begChr m:val="["/>
                          <m:endChr m:val="]"/>
                          <m:ctrlPr>
                            <w:rPr>
                              <w:rFonts w:ascii="Cambria Math" w:hAnsi="Cambria Math"/>
                              <w:i/>
                            </w:rPr>
                          </m:ctrlPr>
                        </m:dPr>
                        <m:e>
                          <m:r>
                            <m:rPr>
                              <m:sty m:val="p"/>
                            </m:rPr>
                            <w:rPr>
                              <w:rFonts w:ascii="Cambria Math" w:hAnsi="Cambria Math"/>
                              <w:lang w:val="de-CH"/>
                            </w:rPr>
                            <m:t>ln</m:t>
                          </m:r>
                          <m:d>
                            <m:dPr>
                              <m:ctrlPr>
                                <w:rPr>
                                  <w:rFonts w:ascii="Cambria Math" w:hAnsi="Cambria Math"/>
                                  <w:i/>
                                </w:rPr>
                              </m:ctrlPr>
                            </m:dPr>
                            <m:e>
                              <m:r>
                                <w:rPr>
                                  <w:rFonts w:ascii="Cambria Math" w:hAnsi="Cambria Math"/>
                                  <w:lang w:val="de-CH"/>
                                </w:rPr>
                                <m:t>1-</m:t>
                              </m:r>
                              <m:f>
                                <m:fPr>
                                  <m:ctrlPr>
                                    <w:rPr>
                                      <w:rFonts w:ascii="Cambria Math" w:hAnsi="Cambria Math"/>
                                      <w:i/>
                                    </w:rPr>
                                  </m:ctrlPr>
                                </m:fPr>
                                <m:num>
                                  <m:r>
                                    <w:rPr>
                                      <w:rFonts w:ascii="Cambria Math" w:hAnsi="Cambria Math"/>
                                    </w:rPr>
                                    <m:t>p</m:t>
                                  </m:r>
                                </m:num>
                                <m:den>
                                  <m:r>
                                    <w:rPr>
                                      <w:rFonts w:ascii="Cambria Math" w:hAnsi="Cambria Math"/>
                                      <w:lang w:val="de-CH"/>
                                    </w:rPr>
                                    <m:t>100</m:t>
                                  </m:r>
                                </m:den>
                              </m:f>
                            </m:e>
                          </m:d>
                        </m:e>
                      </m:d>
                      <m:r>
                        <m:rPr>
                          <m:sty m:val="p"/>
                        </m:rPr>
                        <w:rPr>
                          <w:rFonts w:ascii="Cambria Math" w:hAnsi="Cambria Math"/>
                          <w:lang w:val="de-CH"/>
                        </w:rPr>
                        <m:t>cot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CH"/>
                                </w:rPr>
                                <m:t>1</m:t>
                              </m:r>
                            </m:sub>
                          </m:sSub>
                          <m:d>
                            <m:dPr>
                              <m:ctrlPr>
                                <w:rPr>
                                  <w:rFonts w:ascii="Cambria Math" w:hAnsi="Cambria Math"/>
                                  <w:i/>
                                </w:rPr>
                              </m:ctrlPr>
                            </m:dPr>
                            <m:e>
                              <m:r>
                                <w:rPr>
                                  <w:rFonts w:ascii="Cambria Math" w:hAnsi="Cambria Math"/>
                                  <w:lang w:val="de-CH"/>
                                </w:rPr>
                                <m:t>1-</m:t>
                              </m:r>
                              <m:f>
                                <m:fPr>
                                  <m:ctrlPr>
                                    <w:rPr>
                                      <w:rFonts w:ascii="Cambria Math" w:hAnsi="Cambria Math"/>
                                      <w:i/>
                                    </w:rPr>
                                  </m:ctrlPr>
                                </m:fPr>
                                <m:num>
                                  <m:r>
                                    <m:rPr>
                                      <m:sty m:val="p"/>
                                    </m:rPr>
                                    <w:rPr>
                                      <w:rFonts w:ascii="Cambria Math" w:hAnsi="Cambria Math"/>
                                    </w:rPr>
                                    <m:t>θ</m:t>
                                  </m:r>
                                </m:num>
                                <m:den>
                                  <m:r>
                                    <w:rPr>
                                      <w:rFonts w:ascii="Cambria Math" w:hAnsi="Cambria Math"/>
                                      <w:lang w:val="de-CH"/>
                                    </w:rPr>
                                    <m:t>90</m:t>
                                  </m:r>
                                </m:den>
                              </m:f>
                            </m:e>
                          </m:d>
                          <m:r>
                            <w:rPr>
                              <w:rFonts w:ascii="Cambria Math" w:hAnsi="Cambria Math"/>
                              <w:lang w:val="de-CH"/>
                            </w:rPr>
                            <m:t>+</m:t>
                          </m:r>
                          <m:f>
                            <m:fPr>
                              <m:ctrlPr>
                                <w:rPr>
                                  <w:rFonts w:ascii="Cambria Math" w:hAnsi="Cambria Math"/>
                                  <w:i/>
                                </w:rPr>
                              </m:ctrlPr>
                            </m:fPr>
                            <m:num>
                              <m:r>
                                <m:rPr>
                                  <m:sty m:val="p"/>
                                </m:rPr>
                                <w:rPr>
                                  <w:rFonts w:ascii="Cambria Math" w:hAnsi="Cambria Math"/>
                                </w:rPr>
                                <m:t>πθ</m:t>
                              </m:r>
                            </m:num>
                            <m:den>
                              <m:r>
                                <w:rPr>
                                  <w:rFonts w:ascii="Cambria Math" w:hAnsi="Cambria Math"/>
                                  <w:lang w:val="de-CH"/>
                                </w:rPr>
                                <m:t>180</m:t>
                              </m:r>
                            </m:den>
                          </m:f>
                        </m:e>
                      </m:d>
                    </m:e>
                  </m:d>
                </m:e>
                <m:sup>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lang w:val="de-CH"/>
                            </w:rPr>
                            <m:t>0.5</m:t>
                          </m:r>
                          <m:d>
                            <m:dPr>
                              <m:ctrlPr>
                                <w:rPr>
                                  <w:rFonts w:ascii="Cambria Math" w:hAnsi="Cambria Math"/>
                                  <w:i/>
                                </w:rPr>
                              </m:ctrlPr>
                            </m:dPr>
                            <m:e>
                              <m:r>
                                <w:rPr>
                                  <w:rFonts w:ascii="Cambria Math" w:hAnsi="Cambria Math"/>
                                  <w:lang w:val="de-CH"/>
                                </w:rPr>
                                <m:t>90-</m:t>
                              </m:r>
                              <m:r>
                                <m:rPr>
                                  <m:sty m:val="p"/>
                                </m:rPr>
                                <w:rPr>
                                  <w:rFonts w:ascii="Cambria Math" w:hAnsi="Cambria Math"/>
                                </w:rPr>
                                <m:t>θ</m:t>
                              </m:r>
                            </m:e>
                          </m:d>
                        </m:num>
                        <m:den>
                          <m:r>
                            <w:rPr>
                              <w:rFonts w:ascii="Cambria Math" w:hAnsi="Cambria Math"/>
                              <w:lang w:val="de-CH"/>
                            </w:rPr>
                            <m:t>90</m:t>
                          </m:r>
                        </m:den>
                      </m:f>
                    </m:e>
                  </m:d>
                </m:sup>
              </m:sSup>
              <m:r>
                <w:rPr>
                  <w:rFonts w:ascii="Cambria Math" w:hAnsi="Cambria Math"/>
                  <w:lang w:val="de-CH"/>
                </w:rPr>
                <m:t xml:space="preserve">-1-0.6 </m:t>
              </m:r>
              <m:sSup>
                <m:sSupPr>
                  <m:ctrlPr>
                    <w:rPr>
                      <w:rFonts w:ascii="Cambria Math" w:hAnsi="Cambria Math"/>
                      <w:i/>
                    </w:rPr>
                  </m:ctrlPr>
                </m:sSupPr>
                <m:e>
                  <m:r>
                    <w:rPr>
                      <w:rFonts w:ascii="Cambria Math" w:hAnsi="Cambria Math"/>
                    </w:rPr>
                    <m:t>Q</m:t>
                  </m:r>
                </m:e>
                <m:sup>
                  <m:r>
                    <w:rPr>
                      <w:rFonts w:ascii="Cambria Math" w:hAnsi="Cambria Math"/>
                      <w:lang w:val="de-CH"/>
                    </w:rPr>
                    <m:t>-1</m:t>
                  </m:r>
                </m:sup>
              </m:sSup>
              <m:r>
                <w:rPr>
                  <w:rFonts w:ascii="Cambria Math" w:hAnsi="Cambria Math"/>
                  <w:lang w:val="de-CH"/>
                </w:rPr>
                <m:t>(</m:t>
              </m:r>
              <m:r>
                <w:rPr>
                  <w:rFonts w:ascii="Cambria Math" w:hAnsi="Cambria Math"/>
                </w:rPr>
                <m:t>p</m:t>
              </m:r>
              <m:r>
                <w:rPr>
                  <w:rFonts w:ascii="Cambria Math" w:hAnsi="Cambria Math"/>
                  <w:lang w:val="de-CH"/>
                </w:rPr>
                <m:t>/100)</m:t>
              </m:r>
            </m:oMath>
            <w:r w:rsidRPr="00755B92">
              <w:rPr>
                <w:lang w:val="de-CH"/>
              </w:rPr>
              <w:t xml:space="preserve">  dB</w:t>
            </w:r>
            <w:r w:rsidRPr="00755B92">
              <w:rPr>
                <w:lang w:val="de-CH"/>
              </w:rPr>
              <w:tab/>
              <w:t>(</w:t>
            </w:r>
            <w:r>
              <w:rPr>
                <w:lang w:val="de-CH"/>
              </w:rPr>
              <w:t>7</w:t>
            </w:r>
            <w:r w:rsidRPr="00755B92">
              <w:rPr>
                <w:lang w:val="de-CH"/>
              </w:rPr>
              <w:t>)</w:t>
            </w:r>
          </w:p>
          <w:p w14:paraId="79CA2095" w14:textId="77777777" w:rsidR="000777F1" w:rsidRPr="00406551" w:rsidRDefault="000777F1" w:rsidP="000777F1">
            <w:r>
              <w:t>with</w:t>
            </w:r>
          </w:p>
          <w:p w14:paraId="5A50FAB3" w14:textId="77777777" w:rsidR="000777F1" w:rsidRPr="00406551" w:rsidRDefault="000777F1" w:rsidP="000777F1">
            <w:pPr>
              <w:pStyle w:val="Equation"/>
              <w:spacing w:before="0"/>
              <w:rPr>
                <w:lang w:val="en-GB"/>
              </w:rPr>
            </w:pPr>
            <w:r w:rsidRPr="00406551">
              <w:rPr>
                <w:lang w:val="en-GB"/>
              </w:rPr>
              <w:tab/>
            </w:r>
            <w:r w:rsidRPr="00406551">
              <w:rPr>
                <w:lang w:val="en-GB"/>
              </w:rPr>
              <w:tab/>
            </w:r>
            <m:oMath>
              <m:sSub>
                <m:sSubPr>
                  <m:ctrlPr>
                    <w:rPr>
                      <w:rFonts w:ascii="Cambria Math" w:hAnsi="Cambria Math"/>
                    </w:rPr>
                  </m:ctrlPr>
                </m:sSubPr>
                <m:e>
                  <m:r>
                    <w:rPr>
                      <w:rFonts w:ascii="Cambria Math" w:hAnsi="Cambria Math"/>
                    </w:rPr>
                    <m:t>K</m:t>
                  </m:r>
                </m:e>
                <m:sub>
                  <m:r>
                    <m:rPr>
                      <m:sty m:val="p"/>
                    </m:rPr>
                    <w:rPr>
                      <w:rFonts w:ascii="Cambria Math" w:hAnsi="Cambria Math"/>
                      <w:lang w:val="en-GB"/>
                    </w:rPr>
                    <m:t>1</m:t>
                  </m:r>
                </m:sub>
              </m:sSub>
              <m:r>
                <m:rPr>
                  <m:sty m:val="p"/>
                </m:rPr>
                <w:rPr>
                  <w:rFonts w:ascii="Cambria Math" w:hAnsi="Cambria Math"/>
                  <w:lang w:val="en-GB"/>
                </w:rPr>
                <m:t>=93</m:t>
              </m:r>
              <m:d>
                <m:dPr>
                  <m:ctrlPr>
                    <w:rPr>
                      <w:rFonts w:ascii="Cambria Math" w:hAnsi="Cambria Math"/>
                    </w:rPr>
                  </m:ctrlPr>
                </m:dPr>
                <m:e>
                  <m:sSup>
                    <m:sSupPr>
                      <m:ctrlPr>
                        <w:rPr>
                          <w:rFonts w:ascii="Cambria Math" w:hAnsi="Cambria Math"/>
                        </w:rPr>
                      </m:ctrlPr>
                    </m:sSupPr>
                    <m:e>
                      <m:r>
                        <w:rPr>
                          <w:rFonts w:ascii="Cambria Math" w:hAnsi="Cambria Math"/>
                        </w:rPr>
                        <m:t>f</m:t>
                      </m:r>
                    </m:e>
                    <m:sup>
                      <m:r>
                        <m:rPr>
                          <m:sty m:val="p"/>
                        </m:rPr>
                        <w:rPr>
                          <w:rFonts w:ascii="Cambria Math" w:hAnsi="Cambria Math"/>
                          <w:lang w:val="en-GB"/>
                        </w:rPr>
                        <m:t>0.175</m:t>
                      </m:r>
                    </m:sup>
                  </m:sSup>
                </m:e>
              </m:d>
            </m:oMath>
            <w:r w:rsidRPr="00406551">
              <w:rPr>
                <w:lang w:val="en-GB"/>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lang w:val="en-GB"/>
                    </w:rPr>
                    <m:t>1</m:t>
                  </m:r>
                </m:sub>
              </m:sSub>
              <m:r>
                <m:rPr>
                  <m:sty m:val="p"/>
                </m:rPr>
                <w:rPr>
                  <w:rFonts w:ascii="Cambria Math" w:hAnsi="Cambria Math"/>
                  <w:lang w:val="en-GB"/>
                </w:rPr>
                <m:t>=0.05</m:t>
              </m:r>
            </m:oMath>
          </w:p>
          <w:p w14:paraId="6FAE878E" w14:textId="77777777" w:rsidR="000777F1" w:rsidRDefault="000777F1" w:rsidP="000777F1">
            <w:pPr>
              <w:rPr>
                <w:lang w:val="sv-SE" w:eastAsia="zh-CN"/>
              </w:rPr>
            </w:pPr>
            <w:r>
              <w:rPr>
                <w:lang w:val="sv-SE" w:eastAsia="zh-CN"/>
              </w:rPr>
              <w:t>Where</w:t>
            </w:r>
          </w:p>
          <w:tbl>
            <w:tblPr>
              <w:tblW w:w="7497" w:type="dxa"/>
              <w:jc w:val="center"/>
              <w:tblCellMar>
                <w:left w:w="107" w:type="dxa"/>
                <w:right w:w="107" w:type="dxa"/>
              </w:tblCellMar>
              <w:tblLook w:val="0000" w:firstRow="0" w:lastRow="0" w:firstColumn="0" w:lastColumn="0" w:noHBand="0" w:noVBand="0"/>
            </w:tblPr>
            <w:tblGrid>
              <w:gridCol w:w="3119"/>
              <w:gridCol w:w="1276"/>
              <w:gridCol w:w="1551"/>
              <w:gridCol w:w="1551"/>
            </w:tblGrid>
            <w:tr w:rsidR="000777F1" w:rsidRPr="009F0619" w14:paraId="54E56214"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15934D52" w14:textId="77777777" w:rsidR="000777F1" w:rsidRPr="009F0619" w:rsidRDefault="000777F1" w:rsidP="000777F1">
                  <w:pPr>
                    <w:pStyle w:val="Tablehead"/>
                  </w:pPr>
                  <w:r w:rsidRPr="009F0619">
                    <w:t>Input</w:t>
                  </w:r>
                </w:p>
              </w:tc>
              <w:tc>
                <w:tcPr>
                  <w:tcW w:w="1276" w:type="dxa"/>
                  <w:tcBorders>
                    <w:top w:val="single" w:sz="6" w:space="0" w:color="auto"/>
                    <w:left w:val="single" w:sz="6" w:space="0" w:color="auto"/>
                    <w:bottom w:val="single" w:sz="6" w:space="0" w:color="auto"/>
                    <w:right w:val="single" w:sz="6" w:space="0" w:color="auto"/>
                  </w:tcBorders>
                </w:tcPr>
                <w:p w14:paraId="4F0A0AA5" w14:textId="77777777" w:rsidR="000777F1" w:rsidRPr="009F0619" w:rsidRDefault="000777F1" w:rsidP="000777F1">
                  <w:pPr>
                    <w:pStyle w:val="Tablehead"/>
                  </w:pPr>
                  <w:r w:rsidRPr="009F0619">
                    <w:t>Symbol</w:t>
                  </w:r>
                </w:p>
              </w:tc>
              <w:tc>
                <w:tcPr>
                  <w:tcW w:w="1551" w:type="dxa"/>
                  <w:tcBorders>
                    <w:top w:val="single" w:sz="6" w:space="0" w:color="auto"/>
                    <w:left w:val="single" w:sz="6" w:space="0" w:color="auto"/>
                    <w:bottom w:val="single" w:sz="6" w:space="0" w:color="auto"/>
                    <w:right w:val="single" w:sz="6" w:space="0" w:color="auto"/>
                  </w:tcBorders>
                </w:tcPr>
                <w:p w14:paraId="4F473D33" w14:textId="77777777" w:rsidR="000777F1" w:rsidRPr="009F0619" w:rsidRDefault="000777F1" w:rsidP="000777F1">
                  <w:pPr>
                    <w:pStyle w:val="Tablehead"/>
                  </w:pPr>
                  <w:r w:rsidRPr="009F0619">
                    <w:t>Unit</w:t>
                  </w:r>
                </w:p>
              </w:tc>
              <w:tc>
                <w:tcPr>
                  <w:tcW w:w="1551" w:type="dxa"/>
                  <w:tcBorders>
                    <w:top w:val="single" w:sz="6" w:space="0" w:color="auto"/>
                    <w:left w:val="single" w:sz="6" w:space="0" w:color="auto"/>
                    <w:bottom w:val="single" w:sz="6" w:space="0" w:color="auto"/>
                    <w:right w:val="single" w:sz="6" w:space="0" w:color="auto"/>
                  </w:tcBorders>
                </w:tcPr>
                <w:p w14:paraId="7B039E86" w14:textId="77777777" w:rsidR="000777F1" w:rsidRPr="009F0619" w:rsidRDefault="000777F1" w:rsidP="000777F1">
                  <w:pPr>
                    <w:pStyle w:val="Tablehead"/>
                    <w:rPr>
                      <w:lang w:eastAsia="zh-CN"/>
                    </w:rPr>
                  </w:pPr>
                  <w:r>
                    <w:rPr>
                      <w:rFonts w:hint="eastAsia"/>
                      <w:lang w:eastAsia="zh-CN"/>
                    </w:rPr>
                    <w:t>Assumption</w:t>
                  </w:r>
                  <w:r>
                    <w:rPr>
                      <w:lang w:eastAsia="zh-CN"/>
                    </w:rPr>
                    <w:t>s</w:t>
                  </w:r>
                </w:p>
              </w:tc>
            </w:tr>
            <w:tr w:rsidR="000777F1" w:rsidRPr="00244E51" w14:paraId="2A883F7D"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7EF08C94" w14:textId="77777777" w:rsidR="000777F1" w:rsidRPr="00244E51" w:rsidRDefault="000777F1" w:rsidP="000777F1">
                  <w:pPr>
                    <w:pStyle w:val="Tabletext"/>
                  </w:pPr>
                  <w:r w:rsidRPr="00244E51">
                    <w:t>Frequency</w:t>
                  </w:r>
                </w:p>
              </w:tc>
              <w:tc>
                <w:tcPr>
                  <w:tcW w:w="1276" w:type="dxa"/>
                  <w:tcBorders>
                    <w:top w:val="single" w:sz="6" w:space="0" w:color="auto"/>
                    <w:left w:val="single" w:sz="6" w:space="0" w:color="auto"/>
                    <w:bottom w:val="single" w:sz="6" w:space="0" w:color="auto"/>
                    <w:right w:val="single" w:sz="6" w:space="0" w:color="auto"/>
                  </w:tcBorders>
                </w:tcPr>
                <w:p w14:paraId="6D4DF882" w14:textId="77777777" w:rsidR="000777F1" w:rsidRPr="00244E51" w:rsidRDefault="000777F1" w:rsidP="000777F1">
                  <w:pPr>
                    <w:pStyle w:val="Tabletext"/>
                    <w:jc w:val="center"/>
                    <w:rPr>
                      <w:i/>
                    </w:rPr>
                  </w:pPr>
                  <w:r w:rsidRPr="00244E51">
                    <w:rPr>
                      <w:i/>
                    </w:rPr>
                    <w:t>f</w:t>
                  </w:r>
                </w:p>
              </w:tc>
              <w:tc>
                <w:tcPr>
                  <w:tcW w:w="1551" w:type="dxa"/>
                  <w:tcBorders>
                    <w:top w:val="single" w:sz="6" w:space="0" w:color="auto"/>
                    <w:left w:val="single" w:sz="6" w:space="0" w:color="auto"/>
                    <w:bottom w:val="single" w:sz="6" w:space="0" w:color="auto"/>
                    <w:right w:val="single" w:sz="6" w:space="0" w:color="auto"/>
                  </w:tcBorders>
                </w:tcPr>
                <w:p w14:paraId="63437F0C" w14:textId="77777777" w:rsidR="000777F1" w:rsidRPr="00244E51" w:rsidRDefault="000777F1" w:rsidP="000777F1">
                  <w:pPr>
                    <w:pStyle w:val="Tabletext"/>
                    <w:jc w:val="center"/>
                  </w:pPr>
                  <w:r w:rsidRPr="00244E51">
                    <w:t>GHz</w:t>
                  </w:r>
                </w:p>
              </w:tc>
              <w:tc>
                <w:tcPr>
                  <w:tcW w:w="1551" w:type="dxa"/>
                  <w:tcBorders>
                    <w:top w:val="single" w:sz="6" w:space="0" w:color="auto"/>
                    <w:left w:val="single" w:sz="6" w:space="0" w:color="auto"/>
                    <w:bottom w:val="single" w:sz="6" w:space="0" w:color="auto"/>
                    <w:right w:val="single" w:sz="6" w:space="0" w:color="auto"/>
                  </w:tcBorders>
                </w:tcPr>
                <w:p w14:paraId="2F6DD7E3" w14:textId="77777777" w:rsidR="000777F1" w:rsidRDefault="000777F1" w:rsidP="000777F1">
                  <w:pPr>
                    <w:pStyle w:val="Tabletext"/>
                    <w:jc w:val="center"/>
                    <w:rPr>
                      <w:lang w:eastAsia="zh-CN"/>
                    </w:rPr>
                  </w:pPr>
                  <w:r>
                    <w:rPr>
                      <w:rFonts w:hint="eastAsia"/>
                      <w:lang w:eastAsia="zh-CN"/>
                    </w:rPr>
                    <w:t>11</w:t>
                  </w:r>
                  <w:r>
                    <w:rPr>
                      <w:lang w:eastAsia="zh-CN"/>
                    </w:rPr>
                    <w:t>GHz DL [1]</w:t>
                  </w:r>
                </w:p>
                <w:p w14:paraId="23FFE1DA" w14:textId="77777777" w:rsidR="000777F1" w:rsidRPr="00244E51" w:rsidRDefault="000777F1" w:rsidP="000777F1">
                  <w:pPr>
                    <w:pStyle w:val="Tabletext"/>
                    <w:jc w:val="center"/>
                    <w:rPr>
                      <w:lang w:eastAsia="zh-CN"/>
                    </w:rPr>
                  </w:pPr>
                  <w:r>
                    <w:rPr>
                      <w:lang w:eastAsia="zh-CN"/>
                    </w:rPr>
                    <w:t>14GHz UL [1]</w:t>
                  </w:r>
                </w:p>
              </w:tc>
            </w:tr>
            <w:tr w:rsidR="000777F1" w:rsidRPr="00244E51" w14:paraId="5B88D084"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47F86957" w14:textId="77777777" w:rsidR="000777F1" w:rsidRPr="00244E51" w:rsidRDefault="000777F1" w:rsidP="000777F1">
                  <w:pPr>
                    <w:pStyle w:val="Tabletext"/>
                  </w:pPr>
                  <w:r>
                    <w:t>Elevation angle</w:t>
                  </w:r>
                </w:p>
              </w:tc>
              <w:tc>
                <w:tcPr>
                  <w:tcW w:w="1276" w:type="dxa"/>
                  <w:tcBorders>
                    <w:top w:val="single" w:sz="6" w:space="0" w:color="auto"/>
                    <w:left w:val="single" w:sz="6" w:space="0" w:color="auto"/>
                    <w:bottom w:val="single" w:sz="6" w:space="0" w:color="auto"/>
                    <w:right w:val="single" w:sz="6" w:space="0" w:color="auto"/>
                  </w:tcBorders>
                </w:tcPr>
                <w:p w14:paraId="1FEDFAA9" w14:textId="77777777" w:rsidR="000777F1" w:rsidRPr="00755B92" w:rsidRDefault="000777F1" w:rsidP="000777F1">
                  <w:pPr>
                    <w:pStyle w:val="Tabletext"/>
                    <w:jc w:val="center"/>
                    <w:rPr>
                      <w:iCs/>
                    </w:rPr>
                  </w:pPr>
                  <w:r w:rsidRPr="00755B92">
                    <w:rPr>
                      <w:iCs/>
                    </w:rPr>
                    <w:t>θ</w:t>
                  </w:r>
                </w:p>
              </w:tc>
              <w:tc>
                <w:tcPr>
                  <w:tcW w:w="1551" w:type="dxa"/>
                  <w:tcBorders>
                    <w:top w:val="single" w:sz="6" w:space="0" w:color="auto"/>
                    <w:left w:val="single" w:sz="6" w:space="0" w:color="auto"/>
                    <w:bottom w:val="single" w:sz="6" w:space="0" w:color="auto"/>
                    <w:right w:val="single" w:sz="6" w:space="0" w:color="auto"/>
                  </w:tcBorders>
                </w:tcPr>
                <w:p w14:paraId="07B5E6E3" w14:textId="77777777" w:rsidR="000777F1" w:rsidRPr="00244E51" w:rsidRDefault="000777F1" w:rsidP="000777F1">
                  <w:pPr>
                    <w:pStyle w:val="Tabletext"/>
                    <w:jc w:val="center"/>
                  </w:pPr>
                  <w:r>
                    <w:t>degrees</w:t>
                  </w:r>
                </w:p>
              </w:tc>
              <w:tc>
                <w:tcPr>
                  <w:tcW w:w="1551" w:type="dxa"/>
                  <w:tcBorders>
                    <w:top w:val="single" w:sz="6" w:space="0" w:color="auto"/>
                    <w:left w:val="single" w:sz="6" w:space="0" w:color="auto"/>
                    <w:bottom w:val="single" w:sz="6" w:space="0" w:color="auto"/>
                    <w:right w:val="single" w:sz="6" w:space="0" w:color="auto"/>
                  </w:tcBorders>
                </w:tcPr>
                <w:p w14:paraId="68673C7F" w14:textId="77777777" w:rsidR="000777F1" w:rsidRDefault="000777F1" w:rsidP="000777F1">
                  <w:pPr>
                    <w:pStyle w:val="Tabletext"/>
                    <w:jc w:val="center"/>
                    <w:rPr>
                      <w:lang w:eastAsia="zh-CN"/>
                    </w:rPr>
                  </w:pPr>
                  <w:r>
                    <w:rPr>
                      <w:rFonts w:hint="eastAsia"/>
                      <w:lang w:eastAsia="zh-CN"/>
                    </w:rPr>
                    <w:t>D</w:t>
                  </w:r>
                  <w:r>
                    <w:rPr>
                      <w:lang w:eastAsia="zh-CN"/>
                    </w:rPr>
                    <w:t>erived in simulation</w:t>
                  </w:r>
                </w:p>
              </w:tc>
            </w:tr>
            <w:tr w:rsidR="000777F1" w:rsidRPr="00244E51" w14:paraId="14BB1952"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2AB445E0" w14:textId="77777777" w:rsidR="000777F1" w:rsidRPr="00244E51" w:rsidRDefault="000777F1" w:rsidP="000777F1">
                  <w:pPr>
                    <w:pStyle w:val="Tabletext"/>
                  </w:pPr>
                  <w:r>
                    <w:t>Percentage of locations</w:t>
                  </w:r>
                </w:p>
              </w:tc>
              <w:tc>
                <w:tcPr>
                  <w:tcW w:w="1276" w:type="dxa"/>
                  <w:tcBorders>
                    <w:top w:val="single" w:sz="6" w:space="0" w:color="auto"/>
                    <w:left w:val="single" w:sz="6" w:space="0" w:color="auto"/>
                    <w:bottom w:val="single" w:sz="6" w:space="0" w:color="auto"/>
                    <w:right w:val="single" w:sz="6" w:space="0" w:color="auto"/>
                  </w:tcBorders>
                </w:tcPr>
                <w:p w14:paraId="60E967C2" w14:textId="77777777" w:rsidR="000777F1" w:rsidRPr="00244E51" w:rsidRDefault="000777F1" w:rsidP="000777F1">
                  <w:pPr>
                    <w:pStyle w:val="Tabletext"/>
                    <w:jc w:val="center"/>
                    <w:rPr>
                      <w:i/>
                    </w:rPr>
                  </w:pPr>
                  <w:r>
                    <w:rPr>
                      <w:i/>
                    </w:rPr>
                    <w:t>p</w:t>
                  </w:r>
                </w:p>
              </w:tc>
              <w:tc>
                <w:tcPr>
                  <w:tcW w:w="1551" w:type="dxa"/>
                  <w:tcBorders>
                    <w:top w:val="single" w:sz="6" w:space="0" w:color="auto"/>
                    <w:left w:val="single" w:sz="6" w:space="0" w:color="auto"/>
                    <w:bottom w:val="single" w:sz="6" w:space="0" w:color="auto"/>
                    <w:right w:val="single" w:sz="6" w:space="0" w:color="auto"/>
                  </w:tcBorders>
                </w:tcPr>
                <w:p w14:paraId="753E5EF5" w14:textId="77777777" w:rsidR="000777F1" w:rsidRPr="00244E51" w:rsidRDefault="000777F1" w:rsidP="000777F1">
                  <w:pPr>
                    <w:pStyle w:val="Tabletext"/>
                    <w:jc w:val="center"/>
                  </w:pPr>
                  <w:r>
                    <w:t>%</w:t>
                  </w:r>
                </w:p>
              </w:tc>
              <w:tc>
                <w:tcPr>
                  <w:tcW w:w="1551" w:type="dxa"/>
                  <w:tcBorders>
                    <w:top w:val="single" w:sz="6" w:space="0" w:color="auto"/>
                    <w:left w:val="single" w:sz="6" w:space="0" w:color="auto"/>
                    <w:bottom w:val="single" w:sz="6" w:space="0" w:color="auto"/>
                    <w:right w:val="single" w:sz="6" w:space="0" w:color="auto"/>
                  </w:tcBorders>
                </w:tcPr>
                <w:p w14:paraId="74CDC2E7" w14:textId="77777777" w:rsidR="000777F1" w:rsidRDefault="000777F1" w:rsidP="000777F1">
                  <w:pPr>
                    <w:pStyle w:val="Tabletext"/>
                    <w:jc w:val="center"/>
                    <w:rPr>
                      <w:lang w:eastAsia="zh-CN"/>
                    </w:rPr>
                  </w:pPr>
                  <w:r>
                    <w:rPr>
                      <w:lang w:eastAsia="zh-CN"/>
                    </w:rPr>
                    <w:t xml:space="preserve">Propose to use </w:t>
                  </w:r>
                  <w:r>
                    <w:rPr>
                      <w:rFonts w:hint="eastAsia"/>
                      <w:lang w:eastAsia="zh-CN"/>
                    </w:rPr>
                    <w:t>50</w:t>
                  </w:r>
                  <w:r>
                    <w:rPr>
                      <w:lang w:eastAsia="zh-CN"/>
                    </w:rPr>
                    <w:t>% as median case</w:t>
                  </w:r>
                </w:p>
              </w:tc>
            </w:tr>
          </w:tbl>
          <w:p w14:paraId="2E8B92A2" w14:textId="77777777" w:rsidR="000777F1" w:rsidRPr="000777F1" w:rsidRDefault="000777F1" w:rsidP="00EF3EFD">
            <w:pPr>
              <w:rPr>
                <w:b/>
                <w:lang w:val="fr-FR" w:eastAsia="zh-CN"/>
              </w:rPr>
            </w:pPr>
          </w:p>
        </w:tc>
      </w:tr>
    </w:tbl>
    <w:p w14:paraId="30AFCF41" w14:textId="77777777" w:rsidR="000777F1" w:rsidRPr="000777F1" w:rsidRDefault="000777F1" w:rsidP="00EF3EFD">
      <w:pPr>
        <w:rPr>
          <w:b/>
          <w:lang w:val="sv-SE" w:eastAsia="zh-CN"/>
        </w:rPr>
      </w:pPr>
    </w:p>
    <w:p w14:paraId="37C687EA" w14:textId="59D1B372" w:rsidR="00893C8A" w:rsidRDefault="0029380F" w:rsidP="00EF3EFD">
      <w:pPr>
        <w:rPr>
          <w:lang w:val="sv-SE" w:eastAsia="zh-CN"/>
        </w:rPr>
      </w:pPr>
      <w:r>
        <w:rPr>
          <w:rFonts w:hint="eastAsia"/>
          <w:lang w:val="sv-SE" w:eastAsia="zh-CN"/>
        </w:rPr>
        <w:lastRenderedPageBreak/>
        <w:t>F</w:t>
      </w:r>
      <w:r>
        <w:rPr>
          <w:lang w:val="sv-SE" w:eastAsia="zh-CN"/>
        </w:rPr>
        <w:t>or NTN SAN parameters, in [1], the parameters for transmit EIRP, and the rest are still missing for the study of Ku-band. It requires input from Satellite operators/companies to provide the applicable parameters for the Ku-band NTN SAN.</w:t>
      </w:r>
    </w:p>
    <w:p w14:paraId="5CDE0443" w14:textId="75837DE7" w:rsidR="0029380F" w:rsidRDefault="0029380F" w:rsidP="00EF3EFD">
      <w:pPr>
        <w:rPr>
          <w:lang w:val="sv-SE" w:eastAsia="zh-CN"/>
        </w:rPr>
      </w:pPr>
      <w:r>
        <w:rPr>
          <w:lang w:val="sv-SE" w:eastAsia="zh-CN"/>
        </w:rPr>
        <w:t>Observation 4: The NTN SAN parameters, including EIRP and rest, are still missing, and pending for input from satellite companies.</w:t>
      </w:r>
    </w:p>
    <w:p w14:paraId="0C4762F8" w14:textId="23CD347D" w:rsidR="00990234" w:rsidRPr="00990234" w:rsidRDefault="00990234" w:rsidP="00990234">
      <w:pPr>
        <w:rPr>
          <w:b/>
          <w:lang w:val="sv-SE" w:eastAsia="zh-CN"/>
        </w:rPr>
      </w:pPr>
      <w:r w:rsidRPr="00990234">
        <w:rPr>
          <w:b/>
          <w:lang w:val="sv-SE" w:eastAsia="zh-CN"/>
        </w:rPr>
        <w:t xml:space="preserve">Proposal </w:t>
      </w:r>
      <w:r>
        <w:rPr>
          <w:b/>
          <w:lang w:val="sv-SE" w:eastAsia="zh-CN"/>
        </w:rPr>
        <w:t>4</w:t>
      </w:r>
      <w:r w:rsidRPr="00990234">
        <w:rPr>
          <w:b/>
          <w:lang w:val="sv-SE" w:eastAsia="zh-CN"/>
        </w:rPr>
        <w:t xml:space="preserve">: </w:t>
      </w:r>
      <w:r>
        <w:rPr>
          <w:b/>
          <w:lang w:val="sv-SE" w:eastAsia="zh-CN"/>
        </w:rPr>
        <w:t>To encourage companies to contribute missing parameters for NTN SAN in Ku-band.</w:t>
      </w:r>
    </w:p>
    <w:p w14:paraId="5081F211" w14:textId="2430466D" w:rsidR="0029380F" w:rsidRPr="00990234" w:rsidRDefault="0029380F" w:rsidP="00EF3EFD">
      <w:pPr>
        <w:rPr>
          <w:lang w:val="sv-SE" w:eastAsia="zh-CN"/>
        </w:rPr>
      </w:pPr>
    </w:p>
    <w:p w14:paraId="6B0A8BAD" w14:textId="752AA8B2" w:rsidR="0029380F" w:rsidRDefault="0029380F" w:rsidP="00EF3EFD">
      <w:pPr>
        <w:rPr>
          <w:lang w:val="sv-SE" w:eastAsia="zh-CN"/>
        </w:rPr>
      </w:pPr>
      <w:r>
        <w:rPr>
          <w:lang w:val="sv-SE" w:eastAsia="zh-CN"/>
        </w:rPr>
        <w:t>For NTN VSAT parameters, the proposals from CATT [4] and Intelsat [5] are both for directional antennas with mechanical steering. It can be workable for co-ex study for mechanical steeering VSAT, however it does not come with the antenna pattern for electrical steering antenna.</w:t>
      </w:r>
    </w:p>
    <w:p w14:paraId="0096AD61" w14:textId="4C5AFD46" w:rsidR="0029380F" w:rsidRDefault="0029380F" w:rsidP="00EF3EFD">
      <w:pPr>
        <w:rPr>
          <w:lang w:val="sv-SE" w:eastAsia="zh-CN"/>
        </w:rPr>
      </w:pPr>
      <w:r w:rsidRPr="00990234">
        <w:rPr>
          <w:b/>
          <w:lang w:val="sv-SE" w:eastAsia="zh-CN"/>
        </w:rPr>
        <w:t>Observation 5</w:t>
      </w:r>
      <w:r>
        <w:rPr>
          <w:lang w:val="sv-SE" w:eastAsia="zh-CN"/>
        </w:rPr>
        <w:t xml:space="preserve">: </w:t>
      </w:r>
      <w:r w:rsidR="00990234">
        <w:rPr>
          <w:lang w:val="sv-SE" w:eastAsia="zh-CN"/>
        </w:rPr>
        <w:t>The NTN VSAT antenna assumption using section 6.4.1 of TR 38.811 only applies to the mechanical steering VSAT, it’s better to have a separated and dedicated antenna pattern for electrical steering VSAT.</w:t>
      </w:r>
    </w:p>
    <w:p w14:paraId="59B33328" w14:textId="75A56395" w:rsidR="00990234" w:rsidRPr="00990234" w:rsidRDefault="00990234" w:rsidP="00EF3EFD">
      <w:pPr>
        <w:rPr>
          <w:b/>
          <w:lang w:val="sv-SE" w:eastAsia="zh-CN"/>
        </w:rPr>
      </w:pPr>
      <w:bookmarkStart w:id="1" w:name="OLE_LINK21"/>
      <w:bookmarkStart w:id="2" w:name="OLE_LINK22"/>
      <w:r w:rsidRPr="00990234">
        <w:rPr>
          <w:b/>
          <w:lang w:val="sv-SE" w:eastAsia="zh-CN"/>
        </w:rPr>
        <w:t xml:space="preserve">Proposal </w:t>
      </w:r>
      <w:r>
        <w:rPr>
          <w:b/>
          <w:lang w:val="sv-SE" w:eastAsia="zh-CN"/>
        </w:rPr>
        <w:t>5</w:t>
      </w:r>
      <w:r w:rsidRPr="00990234">
        <w:rPr>
          <w:b/>
          <w:lang w:val="sv-SE" w:eastAsia="zh-CN"/>
        </w:rPr>
        <w:t xml:space="preserve">: </w:t>
      </w:r>
      <w:r>
        <w:rPr>
          <w:b/>
          <w:lang w:val="sv-SE" w:eastAsia="zh-CN"/>
        </w:rPr>
        <w:t>To encourage companies to provide antenna model/pattern for electrical steering VSAT for Ku-band.</w:t>
      </w:r>
    </w:p>
    <w:bookmarkEnd w:id="1"/>
    <w:bookmarkEnd w:id="2"/>
    <w:p w14:paraId="3A8DA364" w14:textId="77777777" w:rsidR="00121402" w:rsidRPr="00236C4A" w:rsidRDefault="00121402" w:rsidP="00236C4A">
      <w:pPr>
        <w:rPr>
          <w:lang w:val="sv-SE" w:eastAsia="zh-CN"/>
        </w:rPr>
      </w:pPr>
    </w:p>
    <w:p w14:paraId="6DE1A723" w14:textId="394D2CE4" w:rsidR="002D7346" w:rsidRPr="00D64FA5" w:rsidRDefault="00B01D7A" w:rsidP="002D7346">
      <w:pPr>
        <w:pStyle w:val="1"/>
        <w:jc w:val="both"/>
        <w:rPr>
          <w:lang w:val="en-US"/>
        </w:rPr>
      </w:pPr>
      <w:r>
        <w:rPr>
          <w:lang w:val="en-US"/>
        </w:rPr>
        <w:t>3</w:t>
      </w:r>
      <w:r w:rsidR="002D7346">
        <w:rPr>
          <w:lang w:val="en-US"/>
        </w:rPr>
        <w:tab/>
      </w:r>
      <w:r w:rsidR="002D7346" w:rsidRPr="00D64FA5">
        <w:rPr>
          <w:lang w:val="en-US"/>
        </w:rPr>
        <w:t>Conclusion</w:t>
      </w:r>
    </w:p>
    <w:p w14:paraId="04D5E6C6" w14:textId="27B57C57" w:rsidR="002D7346" w:rsidRDefault="002D7346" w:rsidP="002D7346">
      <w:pPr>
        <w:rPr>
          <w:lang w:eastAsia="ja-JP"/>
        </w:rPr>
      </w:pPr>
      <w:r>
        <w:rPr>
          <w:rFonts w:hint="eastAsia"/>
          <w:lang w:eastAsia="ja-JP"/>
        </w:rPr>
        <w:t xml:space="preserve">For </w:t>
      </w:r>
      <w:r>
        <w:rPr>
          <w:lang w:eastAsia="ja-JP"/>
        </w:rPr>
        <w:t>the</w:t>
      </w:r>
      <w:r w:rsidR="00727BFD">
        <w:rPr>
          <w:lang w:eastAsia="ja-JP"/>
        </w:rPr>
        <w:t xml:space="preserve"> </w:t>
      </w:r>
      <w:r w:rsidR="00990234">
        <w:rPr>
          <w:lang w:eastAsia="zh-CN"/>
        </w:rPr>
        <w:t>NTN Ku-band co-ex</w:t>
      </w:r>
      <w:r w:rsidR="00CA3F1D">
        <w:rPr>
          <w:lang w:eastAsia="zh-CN"/>
        </w:rPr>
        <w:t xml:space="preserve"> study assumption</w:t>
      </w:r>
      <w:r>
        <w:rPr>
          <w:rFonts w:hint="eastAsia"/>
          <w:lang w:eastAsia="ja-JP"/>
        </w:rPr>
        <w:t>, w</w:t>
      </w:r>
      <w:r>
        <w:t xml:space="preserve">e propose </w:t>
      </w:r>
      <w:r>
        <w:rPr>
          <w:rFonts w:hint="eastAsia"/>
          <w:lang w:eastAsia="ja-JP"/>
        </w:rPr>
        <w:t>the following</w:t>
      </w:r>
      <w:r>
        <w:t>.</w:t>
      </w:r>
    </w:p>
    <w:p w14:paraId="07EF5B7B" w14:textId="77777777" w:rsidR="00EB0777" w:rsidRDefault="00EB0777" w:rsidP="00EB0777">
      <w:pPr>
        <w:rPr>
          <w:lang w:val="sv-SE" w:eastAsia="zh-CN"/>
        </w:rPr>
      </w:pPr>
      <w:r w:rsidRPr="00FB5A93">
        <w:rPr>
          <w:b/>
          <w:lang w:val="sv-SE" w:eastAsia="zh-CN"/>
        </w:rPr>
        <w:t>Observation 1</w:t>
      </w:r>
      <w:r>
        <w:rPr>
          <w:lang w:val="sv-SE" w:eastAsia="zh-CN"/>
        </w:rPr>
        <w:t>: The NTN devices in Ku-band is not to re-use the existing TN devices, given the fact that the 15GHz TN network is still under study.</w:t>
      </w:r>
    </w:p>
    <w:p w14:paraId="04953150" w14:textId="77777777" w:rsidR="00EB0777" w:rsidRPr="00FB5A93" w:rsidRDefault="00EB0777" w:rsidP="00EB0777">
      <w:pPr>
        <w:rPr>
          <w:b/>
          <w:lang w:val="sv-SE" w:eastAsia="zh-CN"/>
        </w:rPr>
      </w:pPr>
      <w:r w:rsidRPr="00FB5A93">
        <w:rPr>
          <w:b/>
          <w:lang w:val="sv-SE" w:eastAsia="zh-CN"/>
        </w:rPr>
        <w:t>Proposal 1: To not consider isolation distance or geographical separation between TN and NTN in Ku-band study at the beginning.</w:t>
      </w:r>
    </w:p>
    <w:p w14:paraId="78130E3C" w14:textId="6A91834E" w:rsidR="002673D3" w:rsidRDefault="002673D3" w:rsidP="00BD3324">
      <w:pPr>
        <w:rPr>
          <w:b/>
          <w:lang w:val="sv-SE" w:eastAsia="zh-CN"/>
        </w:rPr>
      </w:pPr>
    </w:p>
    <w:p w14:paraId="0F44D998" w14:textId="77777777" w:rsidR="00EB0777" w:rsidRDefault="00EB0777" w:rsidP="00EB0777">
      <w:pPr>
        <w:rPr>
          <w:lang w:val="sv-SE" w:eastAsia="zh-CN"/>
        </w:rPr>
      </w:pPr>
      <w:r w:rsidRPr="00D74964">
        <w:rPr>
          <w:b/>
          <w:lang w:val="sv-SE" w:eastAsia="zh-CN"/>
        </w:rPr>
        <w:t>Observation 2</w:t>
      </w:r>
      <w:r>
        <w:rPr>
          <w:lang w:val="sv-SE" w:eastAsia="zh-CN"/>
        </w:rPr>
        <w:t>:  The SNR target of 15dB was assumed in Rel-17 based on the similar assumption of TN network. And the associated 2RB uplink bandwidth also comes from the link budget from GEO scenario and in FR1-NTN frequencies.</w:t>
      </w:r>
    </w:p>
    <w:p w14:paraId="5F5C5935" w14:textId="77777777" w:rsidR="00EB0777" w:rsidRPr="001B0673" w:rsidRDefault="00EB0777" w:rsidP="00EB0777">
      <w:pPr>
        <w:rPr>
          <w:b/>
          <w:lang w:val="sv-SE" w:eastAsia="zh-CN"/>
        </w:rPr>
      </w:pPr>
      <w:r w:rsidRPr="001B0673">
        <w:rPr>
          <w:b/>
          <w:lang w:val="sv-SE" w:eastAsia="zh-CN"/>
        </w:rPr>
        <w:t>Proposal 2: The uplink bandwidth and its SNR target in Rel-17 was derived based on FR1-NTN frequencies and TN network assumptions, it can be different based on the input from satellite companies considering different use cases in Ku-band.</w:t>
      </w:r>
    </w:p>
    <w:p w14:paraId="6B673ED8" w14:textId="6B12558C" w:rsidR="00EB0777" w:rsidRDefault="00EB0777" w:rsidP="00BD3324">
      <w:pPr>
        <w:rPr>
          <w:b/>
          <w:lang w:val="sv-SE" w:eastAsia="zh-CN"/>
        </w:rPr>
      </w:pPr>
    </w:p>
    <w:p w14:paraId="02D8714A" w14:textId="77777777" w:rsidR="00EB0777" w:rsidRDefault="00EB0777" w:rsidP="00EB0777">
      <w:pPr>
        <w:rPr>
          <w:lang w:val="sv-SE" w:eastAsia="zh-CN"/>
        </w:rPr>
      </w:pPr>
      <w:r w:rsidRPr="000777F1">
        <w:rPr>
          <w:rFonts w:hint="eastAsia"/>
          <w:b/>
          <w:lang w:val="sv-SE" w:eastAsia="zh-CN"/>
        </w:rPr>
        <w:t>O</w:t>
      </w:r>
      <w:r w:rsidRPr="000777F1">
        <w:rPr>
          <w:b/>
          <w:lang w:val="sv-SE" w:eastAsia="zh-CN"/>
        </w:rPr>
        <w:t>bservation 3</w:t>
      </w:r>
      <w:r>
        <w:rPr>
          <w:lang w:val="sv-SE" w:eastAsia="zh-CN"/>
        </w:rPr>
        <w:t>: The section 3.3 of ITU-R P.2108[2] can be used as a reference propagation model for clutter loss in addition to the free space propagation loss of ITU-R P.525, the input parameters can be derived from simulation topology and the percentage location can be assumed as 50% for the median/average purpose.</w:t>
      </w:r>
    </w:p>
    <w:p w14:paraId="447EE1C6" w14:textId="77777777" w:rsidR="00EB0777" w:rsidRDefault="00EB0777" w:rsidP="00EB0777">
      <w:pPr>
        <w:rPr>
          <w:b/>
          <w:lang w:val="sv-SE" w:eastAsia="zh-CN"/>
        </w:rPr>
      </w:pPr>
      <w:r w:rsidRPr="000777F1">
        <w:rPr>
          <w:rFonts w:hint="eastAsia"/>
          <w:b/>
          <w:lang w:val="sv-SE" w:eastAsia="zh-CN"/>
        </w:rPr>
        <w:t>P</w:t>
      </w:r>
      <w:r w:rsidRPr="000777F1">
        <w:rPr>
          <w:b/>
          <w:lang w:val="sv-SE" w:eastAsia="zh-CN"/>
        </w:rPr>
        <w:t>roposal 3: To use the section 3.3 of ITU-R P.2108-1[2] model for the earth-space (NTN VSAT – SAN) clutter</w:t>
      </w:r>
      <w:r>
        <w:rPr>
          <w:b/>
          <w:lang w:val="sv-SE" w:eastAsia="zh-CN"/>
        </w:rPr>
        <w:t xml:space="preserve"> loss in the study as following. This model is to be used as an addition to the free-space propagation loss model for clutter loss.</w:t>
      </w:r>
    </w:p>
    <w:tbl>
      <w:tblPr>
        <w:tblStyle w:val="a5"/>
        <w:tblW w:w="0" w:type="auto"/>
        <w:tblLook w:val="04A0" w:firstRow="1" w:lastRow="0" w:firstColumn="1" w:lastColumn="0" w:noHBand="0" w:noVBand="1"/>
      </w:tblPr>
      <w:tblGrid>
        <w:gridCol w:w="9629"/>
      </w:tblGrid>
      <w:tr w:rsidR="00EB0777" w14:paraId="5F996921" w14:textId="77777777" w:rsidTr="00655871">
        <w:tc>
          <w:tcPr>
            <w:tcW w:w="9629" w:type="dxa"/>
          </w:tcPr>
          <w:p w14:paraId="52A8441E" w14:textId="77777777" w:rsidR="00EB0777" w:rsidRPr="00755B92" w:rsidRDefault="00EB0777" w:rsidP="00655871">
            <w:pPr>
              <w:pStyle w:val="MTDisplayEquation"/>
              <w:jc w:val="center"/>
              <w:rPr>
                <w:lang w:val="de-CH"/>
              </w:rPr>
            </w:pPr>
            <w:r>
              <w:tab/>
            </w:r>
            <m:oMath>
              <m:sSub>
                <m:sSubPr>
                  <m:ctrlPr>
                    <w:rPr>
                      <w:rFonts w:ascii="Cambria Math" w:hAnsi="Cambria Math"/>
                      <w:i/>
                    </w:rPr>
                  </m:ctrlPr>
                </m:sSubPr>
                <m:e>
                  <m:r>
                    <w:rPr>
                      <w:rFonts w:ascii="Cambria Math" w:hAnsi="Cambria Math"/>
                    </w:rPr>
                    <m:t>L</m:t>
                  </m:r>
                </m:e>
                <m:sub>
                  <m:r>
                    <w:rPr>
                      <w:rFonts w:ascii="Cambria Math" w:hAnsi="Cambria Math"/>
                    </w:rPr>
                    <m:t>ces</m:t>
                  </m:r>
                </m:sub>
              </m:sSub>
              <m:r>
                <w:rPr>
                  <w:rFonts w:ascii="Cambria Math" w:hAnsi="Cambria Math"/>
                  <w:lang w:val="de-C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lang w:val="de-CH"/>
                        </w:rPr>
                        <m:t>-</m:t>
                      </m:r>
                      <m:sSub>
                        <m:sSubPr>
                          <m:ctrlPr>
                            <w:rPr>
                              <w:rFonts w:ascii="Cambria Math" w:hAnsi="Cambria Math"/>
                              <w:i/>
                            </w:rPr>
                          </m:ctrlPr>
                        </m:sSubPr>
                        <m:e>
                          <m:r>
                            <w:rPr>
                              <w:rFonts w:ascii="Cambria Math" w:hAnsi="Cambria Math"/>
                            </w:rPr>
                            <m:t>K</m:t>
                          </m:r>
                        </m:e>
                        <m:sub>
                          <m:r>
                            <w:rPr>
                              <w:rFonts w:ascii="Cambria Math" w:hAnsi="Cambria Math"/>
                              <w:lang w:val="de-CH"/>
                            </w:rPr>
                            <m:t>1</m:t>
                          </m:r>
                        </m:sub>
                      </m:sSub>
                      <m:d>
                        <m:dPr>
                          <m:begChr m:val="["/>
                          <m:endChr m:val="]"/>
                          <m:ctrlPr>
                            <w:rPr>
                              <w:rFonts w:ascii="Cambria Math" w:hAnsi="Cambria Math"/>
                              <w:i/>
                            </w:rPr>
                          </m:ctrlPr>
                        </m:dPr>
                        <m:e>
                          <m:r>
                            <m:rPr>
                              <m:sty m:val="p"/>
                            </m:rPr>
                            <w:rPr>
                              <w:rFonts w:ascii="Cambria Math" w:hAnsi="Cambria Math"/>
                              <w:lang w:val="de-CH"/>
                            </w:rPr>
                            <m:t>ln</m:t>
                          </m:r>
                          <m:d>
                            <m:dPr>
                              <m:ctrlPr>
                                <w:rPr>
                                  <w:rFonts w:ascii="Cambria Math" w:hAnsi="Cambria Math"/>
                                  <w:i/>
                                </w:rPr>
                              </m:ctrlPr>
                            </m:dPr>
                            <m:e>
                              <m:r>
                                <w:rPr>
                                  <w:rFonts w:ascii="Cambria Math" w:hAnsi="Cambria Math"/>
                                  <w:lang w:val="de-CH"/>
                                </w:rPr>
                                <m:t>1-</m:t>
                              </m:r>
                              <m:f>
                                <m:fPr>
                                  <m:ctrlPr>
                                    <w:rPr>
                                      <w:rFonts w:ascii="Cambria Math" w:hAnsi="Cambria Math"/>
                                      <w:i/>
                                    </w:rPr>
                                  </m:ctrlPr>
                                </m:fPr>
                                <m:num>
                                  <m:r>
                                    <w:rPr>
                                      <w:rFonts w:ascii="Cambria Math" w:hAnsi="Cambria Math"/>
                                    </w:rPr>
                                    <m:t>p</m:t>
                                  </m:r>
                                </m:num>
                                <m:den>
                                  <m:r>
                                    <w:rPr>
                                      <w:rFonts w:ascii="Cambria Math" w:hAnsi="Cambria Math"/>
                                      <w:lang w:val="de-CH"/>
                                    </w:rPr>
                                    <m:t>100</m:t>
                                  </m:r>
                                </m:den>
                              </m:f>
                            </m:e>
                          </m:d>
                        </m:e>
                      </m:d>
                      <m:r>
                        <m:rPr>
                          <m:sty m:val="p"/>
                        </m:rPr>
                        <w:rPr>
                          <w:rFonts w:ascii="Cambria Math" w:hAnsi="Cambria Math"/>
                          <w:lang w:val="de-CH"/>
                        </w:rPr>
                        <m:t>cot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CH"/>
                                </w:rPr>
                                <m:t>1</m:t>
                              </m:r>
                            </m:sub>
                          </m:sSub>
                          <m:d>
                            <m:dPr>
                              <m:ctrlPr>
                                <w:rPr>
                                  <w:rFonts w:ascii="Cambria Math" w:hAnsi="Cambria Math"/>
                                  <w:i/>
                                </w:rPr>
                              </m:ctrlPr>
                            </m:dPr>
                            <m:e>
                              <m:r>
                                <w:rPr>
                                  <w:rFonts w:ascii="Cambria Math" w:hAnsi="Cambria Math"/>
                                  <w:lang w:val="de-CH"/>
                                </w:rPr>
                                <m:t>1-</m:t>
                              </m:r>
                              <m:f>
                                <m:fPr>
                                  <m:ctrlPr>
                                    <w:rPr>
                                      <w:rFonts w:ascii="Cambria Math" w:hAnsi="Cambria Math"/>
                                      <w:i/>
                                    </w:rPr>
                                  </m:ctrlPr>
                                </m:fPr>
                                <m:num>
                                  <m:r>
                                    <m:rPr>
                                      <m:sty m:val="p"/>
                                    </m:rPr>
                                    <w:rPr>
                                      <w:rFonts w:ascii="Cambria Math" w:hAnsi="Cambria Math"/>
                                    </w:rPr>
                                    <m:t>θ</m:t>
                                  </m:r>
                                </m:num>
                                <m:den>
                                  <m:r>
                                    <w:rPr>
                                      <w:rFonts w:ascii="Cambria Math" w:hAnsi="Cambria Math"/>
                                      <w:lang w:val="de-CH"/>
                                    </w:rPr>
                                    <m:t>90</m:t>
                                  </m:r>
                                </m:den>
                              </m:f>
                            </m:e>
                          </m:d>
                          <m:r>
                            <w:rPr>
                              <w:rFonts w:ascii="Cambria Math" w:hAnsi="Cambria Math"/>
                              <w:lang w:val="de-CH"/>
                            </w:rPr>
                            <m:t>+</m:t>
                          </m:r>
                          <m:f>
                            <m:fPr>
                              <m:ctrlPr>
                                <w:rPr>
                                  <w:rFonts w:ascii="Cambria Math" w:hAnsi="Cambria Math"/>
                                  <w:i/>
                                </w:rPr>
                              </m:ctrlPr>
                            </m:fPr>
                            <m:num>
                              <m:r>
                                <m:rPr>
                                  <m:sty m:val="p"/>
                                </m:rPr>
                                <w:rPr>
                                  <w:rFonts w:ascii="Cambria Math" w:hAnsi="Cambria Math"/>
                                </w:rPr>
                                <m:t>πθ</m:t>
                              </m:r>
                            </m:num>
                            <m:den>
                              <m:r>
                                <w:rPr>
                                  <w:rFonts w:ascii="Cambria Math" w:hAnsi="Cambria Math"/>
                                  <w:lang w:val="de-CH"/>
                                </w:rPr>
                                <m:t>180</m:t>
                              </m:r>
                            </m:den>
                          </m:f>
                        </m:e>
                      </m:d>
                    </m:e>
                  </m:d>
                </m:e>
                <m:sup>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lang w:val="de-CH"/>
                            </w:rPr>
                            <m:t>0.5</m:t>
                          </m:r>
                          <m:d>
                            <m:dPr>
                              <m:ctrlPr>
                                <w:rPr>
                                  <w:rFonts w:ascii="Cambria Math" w:hAnsi="Cambria Math"/>
                                  <w:i/>
                                </w:rPr>
                              </m:ctrlPr>
                            </m:dPr>
                            <m:e>
                              <m:r>
                                <w:rPr>
                                  <w:rFonts w:ascii="Cambria Math" w:hAnsi="Cambria Math"/>
                                  <w:lang w:val="de-CH"/>
                                </w:rPr>
                                <m:t>90-</m:t>
                              </m:r>
                              <m:r>
                                <m:rPr>
                                  <m:sty m:val="p"/>
                                </m:rPr>
                                <w:rPr>
                                  <w:rFonts w:ascii="Cambria Math" w:hAnsi="Cambria Math"/>
                                </w:rPr>
                                <m:t>θ</m:t>
                              </m:r>
                            </m:e>
                          </m:d>
                        </m:num>
                        <m:den>
                          <m:r>
                            <w:rPr>
                              <w:rFonts w:ascii="Cambria Math" w:hAnsi="Cambria Math"/>
                              <w:lang w:val="de-CH"/>
                            </w:rPr>
                            <m:t>90</m:t>
                          </m:r>
                        </m:den>
                      </m:f>
                    </m:e>
                  </m:d>
                </m:sup>
              </m:sSup>
              <m:r>
                <w:rPr>
                  <w:rFonts w:ascii="Cambria Math" w:hAnsi="Cambria Math"/>
                  <w:lang w:val="de-CH"/>
                </w:rPr>
                <m:t xml:space="preserve">-1-0.6 </m:t>
              </m:r>
              <m:sSup>
                <m:sSupPr>
                  <m:ctrlPr>
                    <w:rPr>
                      <w:rFonts w:ascii="Cambria Math" w:hAnsi="Cambria Math"/>
                      <w:i/>
                    </w:rPr>
                  </m:ctrlPr>
                </m:sSupPr>
                <m:e>
                  <m:r>
                    <w:rPr>
                      <w:rFonts w:ascii="Cambria Math" w:hAnsi="Cambria Math"/>
                    </w:rPr>
                    <m:t>Q</m:t>
                  </m:r>
                </m:e>
                <m:sup>
                  <m:r>
                    <w:rPr>
                      <w:rFonts w:ascii="Cambria Math" w:hAnsi="Cambria Math"/>
                      <w:lang w:val="de-CH"/>
                    </w:rPr>
                    <m:t>-1</m:t>
                  </m:r>
                </m:sup>
              </m:sSup>
              <m:r>
                <w:rPr>
                  <w:rFonts w:ascii="Cambria Math" w:hAnsi="Cambria Math"/>
                  <w:lang w:val="de-CH"/>
                </w:rPr>
                <m:t>(</m:t>
              </m:r>
              <m:r>
                <w:rPr>
                  <w:rFonts w:ascii="Cambria Math" w:hAnsi="Cambria Math"/>
                </w:rPr>
                <m:t>p</m:t>
              </m:r>
              <m:r>
                <w:rPr>
                  <w:rFonts w:ascii="Cambria Math" w:hAnsi="Cambria Math"/>
                  <w:lang w:val="de-CH"/>
                </w:rPr>
                <m:t>/100)</m:t>
              </m:r>
            </m:oMath>
            <w:r w:rsidRPr="00755B92">
              <w:rPr>
                <w:lang w:val="de-CH"/>
              </w:rPr>
              <w:t xml:space="preserve">  dB</w:t>
            </w:r>
            <w:r w:rsidRPr="00755B92">
              <w:rPr>
                <w:lang w:val="de-CH"/>
              </w:rPr>
              <w:tab/>
              <w:t>(</w:t>
            </w:r>
            <w:r>
              <w:rPr>
                <w:lang w:val="de-CH"/>
              </w:rPr>
              <w:t>7</w:t>
            </w:r>
            <w:r w:rsidRPr="00755B92">
              <w:rPr>
                <w:lang w:val="de-CH"/>
              </w:rPr>
              <w:t>)</w:t>
            </w:r>
          </w:p>
          <w:p w14:paraId="1C4A25EA" w14:textId="77777777" w:rsidR="00EB0777" w:rsidRPr="00406551" w:rsidRDefault="00EB0777" w:rsidP="00655871">
            <w:r>
              <w:t>with</w:t>
            </w:r>
          </w:p>
          <w:p w14:paraId="639D54E0" w14:textId="77777777" w:rsidR="00EB0777" w:rsidRPr="00406551" w:rsidRDefault="00EB0777" w:rsidP="00655871">
            <w:pPr>
              <w:pStyle w:val="Equation"/>
              <w:spacing w:before="0"/>
              <w:rPr>
                <w:lang w:val="en-GB"/>
              </w:rPr>
            </w:pPr>
            <w:r w:rsidRPr="00406551">
              <w:rPr>
                <w:lang w:val="en-GB"/>
              </w:rPr>
              <w:tab/>
            </w:r>
            <w:r w:rsidRPr="00406551">
              <w:rPr>
                <w:lang w:val="en-GB"/>
              </w:rPr>
              <w:tab/>
            </w:r>
            <m:oMath>
              <m:sSub>
                <m:sSubPr>
                  <m:ctrlPr>
                    <w:rPr>
                      <w:rFonts w:ascii="Cambria Math" w:hAnsi="Cambria Math"/>
                    </w:rPr>
                  </m:ctrlPr>
                </m:sSubPr>
                <m:e>
                  <m:r>
                    <w:rPr>
                      <w:rFonts w:ascii="Cambria Math" w:hAnsi="Cambria Math"/>
                    </w:rPr>
                    <m:t>K</m:t>
                  </m:r>
                </m:e>
                <m:sub>
                  <m:r>
                    <m:rPr>
                      <m:sty m:val="p"/>
                    </m:rPr>
                    <w:rPr>
                      <w:rFonts w:ascii="Cambria Math" w:hAnsi="Cambria Math"/>
                      <w:lang w:val="en-GB"/>
                    </w:rPr>
                    <m:t>1</m:t>
                  </m:r>
                </m:sub>
              </m:sSub>
              <m:r>
                <m:rPr>
                  <m:sty m:val="p"/>
                </m:rPr>
                <w:rPr>
                  <w:rFonts w:ascii="Cambria Math" w:hAnsi="Cambria Math"/>
                  <w:lang w:val="en-GB"/>
                </w:rPr>
                <m:t>=93</m:t>
              </m:r>
              <m:d>
                <m:dPr>
                  <m:ctrlPr>
                    <w:rPr>
                      <w:rFonts w:ascii="Cambria Math" w:hAnsi="Cambria Math"/>
                    </w:rPr>
                  </m:ctrlPr>
                </m:dPr>
                <m:e>
                  <m:sSup>
                    <m:sSupPr>
                      <m:ctrlPr>
                        <w:rPr>
                          <w:rFonts w:ascii="Cambria Math" w:hAnsi="Cambria Math"/>
                        </w:rPr>
                      </m:ctrlPr>
                    </m:sSupPr>
                    <m:e>
                      <m:r>
                        <w:rPr>
                          <w:rFonts w:ascii="Cambria Math" w:hAnsi="Cambria Math"/>
                        </w:rPr>
                        <m:t>f</m:t>
                      </m:r>
                    </m:e>
                    <m:sup>
                      <m:r>
                        <m:rPr>
                          <m:sty m:val="p"/>
                        </m:rPr>
                        <w:rPr>
                          <w:rFonts w:ascii="Cambria Math" w:hAnsi="Cambria Math"/>
                          <w:lang w:val="en-GB"/>
                        </w:rPr>
                        <m:t>0.175</m:t>
                      </m:r>
                    </m:sup>
                  </m:sSup>
                </m:e>
              </m:d>
            </m:oMath>
            <w:r w:rsidRPr="00406551">
              <w:rPr>
                <w:lang w:val="en-GB"/>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lang w:val="en-GB"/>
                    </w:rPr>
                    <m:t>1</m:t>
                  </m:r>
                </m:sub>
              </m:sSub>
              <m:r>
                <m:rPr>
                  <m:sty m:val="p"/>
                </m:rPr>
                <w:rPr>
                  <w:rFonts w:ascii="Cambria Math" w:hAnsi="Cambria Math"/>
                  <w:lang w:val="en-GB"/>
                </w:rPr>
                <m:t>=0.05</m:t>
              </m:r>
            </m:oMath>
          </w:p>
          <w:p w14:paraId="25CE1188" w14:textId="77777777" w:rsidR="00EB0777" w:rsidRDefault="00EB0777" w:rsidP="00655871">
            <w:pPr>
              <w:rPr>
                <w:lang w:val="sv-SE" w:eastAsia="zh-CN"/>
              </w:rPr>
            </w:pPr>
            <w:r>
              <w:rPr>
                <w:lang w:val="sv-SE" w:eastAsia="zh-CN"/>
              </w:rPr>
              <w:t>Where</w:t>
            </w:r>
          </w:p>
          <w:tbl>
            <w:tblPr>
              <w:tblW w:w="7497" w:type="dxa"/>
              <w:jc w:val="center"/>
              <w:tblCellMar>
                <w:left w:w="107" w:type="dxa"/>
                <w:right w:w="107" w:type="dxa"/>
              </w:tblCellMar>
              <w:tblLook w:val="0000" w:firstRow="0" w:lastRow="0" w:firstColumn="0" w:lastColumn="0" w:noHBand="0" w:noVBand="0"/>
            </w:tblPr>
            <w:tblGrid>
              <w:gridCol w:w="3119"/>
              <w:gridCol w:w="1276"/>
              <w:gridCol w:w="1551"/>
              <w:gridCol w:w="1551"/>
            </w:tblGrid>
            <w:tr w:rsidR="00EB0777" w:rsidRPr="009F0619" w14:paraId="1C4AEBF7"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6D83676B" w14:textId="77777777" w:rsidR="00EB0777" w:rsidRPr="009F0619" w:rsidRDefault="00EB0777" w:rsidP="00655871">
                  <w:pPr>
                    <w:pStyle w:val="Tablehead"/>
                  </w:pPr>
                  <w:r w:rsidRPr="009F0619">
                    <w:t>Input</w:t>
                  </w:r>
                </w:p>
              </w:tc>
              <w:tc>
                <w:tcPr>
                  <w:tcW w:w="1276" w:type="dxa"/>
                  <w:tcBorders>
                    <w:top w:val="single" w:sz="6" w:space="0" w:color="auto"/>
                    <w:left w:val="single" w:sz="6" w:space="0" w:color="auto"/>
                    <w:bottom w:val="single" w:sz="6" w:space="0" w:color="auto"/>
                    <w:right w:val="single" w:sz="6" w:space="0" w:color="auto"/>
                  </w:tcBorders>
                </w:tcPr>
                <w:p w14:paraId="65236BFB" w14:textId="77777777" w:rsidR="00EB0777" w:rsidRPr="009F0619" w:rsidRDefault="00EB0777" w:rsidP="00655871">
                  <w:pPr>
                    <w:pStyle w:val="Tablehead"/>
                  </w:pPr>
                  <w:r w:rsidRPr="009F0619">
                    <w:t>Symbol</w:t>
                  </w:r>
                </w:p>
              </w:tc>
              <w:tc>
                <w:tcPr>
                  <w:tcW w:w="1551" w:type="dxa"/>
                  <w:tcBorders>
                    <w:top w:val="single" w:sz="6" w:space="0" w:color="auto"/>
                    <w:left w:val="single" w:sz="6" w:space="0" w:color="auto"/>
                    <w:bottom w:val="single" w:sz="6" w:space="0" w:color="auto"/>
                    <w:right w:val="single" w:sz="6" w:space="0" w:color="auto"/>
                  </w:tcBorders>
                </w:tcPr>
                <w:p w14:paraId="1AF25C9E" w14:textId="77777777" w:rsidR="00EB0777" w:rsidRPr="009F0619" w:rsidRDefault="00EB0777" w:rsidP="00655871">
                  <w:pPr>
                    <w:pStyle w:val="Tablehead"/>
                  </w:pPr>
                  <w:r w:rsidRPr="009F0619">
                    <w:t>Unit</w:t>
                  </w:r>
                </w:p>
              </w:tc>
              <w:tc>
                <w:tcPr>
                  <w:tcW w:w="1551" w:type="dxa"/>
                  <w:tcBorders>
                    <w:top w:val="single" w:sz="6" w:space="0" w:color="auto"/>
                    <w:left w:val="single" w:sz="6" w:space="0" w:color="auto"/>
                    <w:bottom w:val="single" w:sz="6" w:space="0" w:color="auto"/>
                    <w:right w:val="single" w:sz="6" w:space="0" w:color="auto"/>
                  </w:tcBorders>
                </w:tcPr>
                <w:p w14:paraId="5ED7EA78" w14:textId="77777777" w:rsidR="00EB0777" w:rsidRPr="009F0619" w:rsidRDefault="00EB0777" w:rsidP="00655871">
                  <w:pPr>
                    <w:pStyle w:val="Tablehead"/>
                    <w:rPr>
                      <w:lang w:eastAsia="zh-CN"/>
                    </w:rPr>
                  </w:pPr>
                  <w:r>
                    <w:rPr>
                      <w:rFonts w:hint="eastAsia"/>
                      <w:lang w:eastAsia="zh-CN"/>
                    </w:rPr>
                    <w:t>Assumption</w:t>
                  </w:r>
                  <w:r>
                    <w:rPr>
                      <w:lang w:eastAsia="zh-CN"/>
                    </w:rPr>
                    <w:t>s</w:t>
                  </w:r>
                </w:p>
              </w:tc>
            </w:tr>
            <w:tr w:rsidR="00EB0777" w:rsidRPr="00244E51" w14:paraId="432235C1"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014B2B91" w14:textId="77777777" w:rsidR="00EB0777" w:rsidRPr="00244E51" w:rsidRDefault="00EB0777" w:rsidP="00655871">
                  <w:pPr>
                    <w:pStyle w:val="Tabletext"/>
                  </w:pPr>
                  <w:r w:rsidRPr="00244E51">
                    <w:lastRenderedPageBreak/>
                    <w:t>Frequency</w:t>
                  </w:r>
                </w:p>
              </w:tc>
              <w:tc>
                <w:tcPr>
                  <w:tcW w:w="1276" w:type="dxa"/>
                  <w:tcBorders>
                    <w:top w:val="single" w:sz="6" w:space="0" w:color="auto"/>
                    <w:left w:val="single" w:sz="6" w:space="0" w:color="auto"/>
                    <w:bottom w:val="single" w:sz="6" w:space="0" w:color="auto"/>
                    <w:right w:val="single" w:sz="6" w:space="0" w:color="auto"/>
                  </w:tcBorders>
                </w:tcPr>
                <w:p w14:paraId="3BD2FC12" w14:textId="77777777" w:rsidR="00EB0777" w:rsidRPr="00244E51" w:rsidRDefault="00EB0777" w:rsidP="00655871">
                  <w:pPr>
                    <w:pStyle w:val="Tabletext"/>
                    <w:jc w:val="center"/>
                    <w:rPr>
                      <w:i/>
                    </w:rPr>
                  </w:pPr>
                  <w:r w:rsidRPr="00244E51">
                    <w:rPr>
                      <w:i/>
                    </w:rPr>
                    <w:t>f</w:t>
                  </w:r>
                </w:p>
              </w:tc>
              <w:tc>
                <w:tcPr>
                  <w:tcW w:w="1551" w:type="dxa"/>
                  <w:tcBorders>
                    <w:top w:val="single" w:sz="6" w:space="0" w:color="auto"/>
                    <w:left w:val="single" w:sz="6" w:space="0" w:color="auto"/>
                    <w:bottom w:val="single" w:sz="6" w:space="0" w:color="auto"/>
                    <w:right w:val="single" w:sz="6" w:space="0" w:color="auto"/>
                  </w:tcBorders>
                </w:tcPr>
                <w:p w14:paraId="281D0054" w14:textId="77777777" w:rsidR="00EB0777" w:rsidRPr="00244E51" w:rsidRDefault="00EB0777" w:rsidP="00655871">
                  <w:pPr>
                    <w:pStyle w:val="Tabletext"/>
                    <w:jc w:val="center"/>
                  </w:pPr>
                  <w:r w:rsidRPr="00244E51">
                    <w:t>GHz</w:t>
                  </w:r>
                </w:p>
              </w:tc>
              <w:tc>
                <w:tcPr>
                  <w:tcW w:w="1551" w:type="dxa"/>
                  <w:tcBorders>
                    <w:top w:val="single" w:sz="6" w:space="0" w:color="auto"/>
                    <w:left w:val="single" w:sz="6" w:space="0" w:color="auto"/>
                    <w:bottom w:val="single" w:sz="6" w:space="0" w:color="auto"/>
                    <w:right w:val="single" w:sz="6" w:space="0" w:color="auto"/>
                  </w:tcBorders>
                </w:tcPr>
                <w:p w14:paraId="7BA267E2" w14:textId="77777777" w:rsidR="00EB0777" w:rsidRDefault="00EB0777" w:rsidP="00655871">
                  <w:pPr>
                    <w:pStyle w:val="Tabletext"/>
                    <w:jc w:val="center"/>
                    <w:rPr>
                      <w:lang w:eastAsia="zh-CN"/>
                    </w:rPr>
                  </w:pPr>
                  <w:r>
                    <w:rPr>
                      <w:rFonts w:hint="eastAsia"/>
                      <w:lang w:eastAsia="zh-CN"/>
                    </w:rPr>
                    <w:t>11</w:t>
                  </w:r>
                  <w:r>
                    <w:rPr>
                      <w:lang w:eastAsia="zh-CN"/>
                    </w:rPr>
                    <w:t>GHz DL [1]</w:t>
                  </w:r>
                </w:p>
                <w:p w14:paraId="20785359" w14:textId="77777777" w:rsidR="00EB0777" w:rsidRPr="00244E51" w:rsidRDefault="00EB0777" w:rsidP="00655871">
                  <w:pPr>
                    <w:pStyle w:val="Tabletext"/>
                    <w:jc w:val="center"/>
                    <w:rPr>
                      <w:lang w:eastAsia="zh-CN"/>
                    </w:rPr>
                  </w:pPr>
                  <w:r>
                    <w:rPr>
                      <w:lang w:eastAsia="zh-CN"/>
                    </w:rPr>
                    <w:t>14GHz UL [1]</w:t>
                  </w:r>
                </w:p>
              </w:tc>
            </w:tr>
            <w:tr w:rsidR="00EB0777" w:rsidRPr="00244E51" w14:paraId="05EA6878"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1274FE57" w14:textId="77777777" w:rsidR="00EB0777" w:rsidRPr="00244E51" w:rsidRDefault="00EB0777" w:rsidP="00655871">
                  <w:pPr>
                    <w:pStyle w:val="Tabletext"/>
                  </w:pPr>
                  <w:r>
                    <w:t>Elevation angle</w:t>
                  </w:r>
                </w:p>
              </w:tc>
              <w:tc>
                <w:tcPr>
                  <w:tcW w:w="1276" w:type="dxa"/>
                  <w:tcBorders>
                    <w:top w:val="single" w:sz="6" w:space="0" w:color="auto"/>
                    <w:left w:val="single" w:sz="6" w:space="0" w:color="auto"/>
                    <w:bottom w:val="single" w:sz="6" w:space="0" w:color="auto"/>
                    <w:right w:val="single" w:sz="6" w:space="0" w:color="auto"/>
                  </w:tcBorders>
                </w:tcPr>
                <w:p w14:paraId="2D4DFF30" w14:textId="77777777" w:rsidR="00EB0777" w:rsidRPr="00755B92" w:rsidRDefault="00EB0777" w:rsidP="00655871">
                  <w:pPr>
                    <w:pStyle w:val="Tabletext"/>
                    <w:jc w:val="center"/>
                    <w:rPr>
                      <w:iCs/>
                    </w:rPr>
                  </w:pPr>
                  <w:r w:rsidRPr="00755B92">
                    <w:rPr>
                      <w:iCs/>
                    </w:rPr>
                    <w:t>θ</w:t>
                  </w:r>
                </w:p>
              </w:tc>
              <w:tc>
                <w:tcPr>
                  <w:tcW w:w="1551" w:type="dxa"/>
                  <w:tcBorders>
                    <w:top w:val="single" w:sz="6" w:space="0" w:color="auto"/>
                    <w:left w:val="single" w:sz="6" w:space="0" w:color="auto"/>
                    <w:bottom w:val="single" w:sz="6" w:space="0" w:color="auto"/>
                    <w:right w:val="single" w:sz="6" w:space="0" w:color="auto"/>
                  </w:tcBorders>
                </w:tcPr>
                <w:p w14:paraId="24439507" w14:textId="77777777" w:rsidR="00EB0777" w:rsidRPr="00244E51" w:rsidRDefault="00EB0777" w:rsidP="00655871">
                  <w:pPr>
                    <w:pStyle w:val="Tabletext"/>
                    <w:jc w:val="center"/>
                  </w:pPr>
                  <w:r>
                    <w:t>degrees</w:t>
                  </w:r>
                </w:p>
              </w:tc>
              <w:tc>
                <w:tcPr>
                  <w:tcW w:w="1551" w:type="dxa"/>
                  <w:tcBorders>
                    <w:top w:val="single" w:sz="6" w:space="0" w:color="auto"/>
                    <w:left w:val="single" w:sz="6" w:space="0" w:color="auto"/>
                    <w:bottom w:val="single" w:sz="6" w:space="0" w:color="auto"/>
                    <w:right w:val="single" w:sz="6" w:space="0" w:color="auto"/>
                  </w:tcBorders>
                </w:tcPr>
                <w:p w14:paraId="4FB8F70C" w14:textId="77777777" w:rsidR="00EB0777" w:rsidRDefault="00EB0777" w:rsidP="00655871">
                  <w:pPr>
                    <w:pStyle w:val="Tabletext"/>
                    <w:jc w:val="center"/>
                    <w:rPr>
                      <w:lang w:eastAsia="zh-CN"/>
                    </w:rPr>
                  </w:pPr>
                  <w:r>
                    <w:rPr>
                      <w:rFonts w:hint="eastAsia"/>
                      <w:lang w:eastAsia="zh-CN"/>
                    </w:rPr>
                    <w:t>D</w:t>
                  </w:r>
                  <w:r>
                    <w:rPr>
                      <w:lang w:eastAsia="zh-CN"/>
                    </w:rPr>
                    <w:t>erived in simulation</w:t>
                  </w:r>
                </w:p>
              </w:tc>
            </w:tr>
            <w:tr w:rsidR="00EB0777" w:rsidRPr="00244E51" w14:paraId="6922BF24" w14:textId="77777777" w:rsidTr="00655871">
              <w:trPr>
                <w:cantSplit/>
                <w:jc w:val="center"/>
              </w:trPr>
              <w:tc>
                <w:tcPr>
                  <w:tcW w:w="3119" w:type="dxa"/>
                  <w:tcBorders>
                    <w:top w:val="single" w:sz="6" w:space="0" w:color="auto"/>
                    <w:left w:val="single" w:sz="6" w:space="0" w:color="auto"/>
                    <w:bottom w:val="single" w:sz="6" w:space="0" w:color="auto"/>
                    <w:right w:val="single" w:sz="6" w:space="0" w:color="auto"/>
                  </w:tcBorders>
                </w:tcPr>
                <w:p w14:paraId="0CB686A8" w14:textId="77777777" w:rsidR="00EB0777" w:rsidRPr="00244E51" w:rsidRDefault="00EB0777" w:rsidP="00655871">
                  <w:pPr>
                    <w:pStyle w:val="Tabletext"/>
                  </w:pPr>
                  <w:r>
                    <w:t>Percentage of locations</w:t>
                  </w:r>
                </w:p>
              </w:tc>
              <w:tc>
                <w:tcPr>
                  <w:tcW w:w="1276" w:type="dxa"/>
                  <w:tcBorders>
                    <w:top w:val="single" w:sz="6" w:space="0" w:color="auto"/>
                    <w:left w:val="single" w:sz="6" w:space="0" w:color="auto"/>
                    <w:bottom w:val="single" w:sz="6" w:space="0" w:color="auto"/>
                    <w:right w:val="single" w:sz="6" w:space="0" w:color="auto"/>
                  </w:tcBorders>
                </w:tcPr>
                <w:p w14:paraId="5158A44F" w14:textId="77777777" w:rsidR="00EB0777" w:rsidRPr="00244E51" w:rsidRDefault="00EB0777" w:rsidP="00655871">
                  <w:pPr>
                    <w:pStyle w:val="Tabletext"/>
                    <w:jc w:val="center"/>
                    <w:rPr>
                      <w:i/>
                    </w:rPr>
                  </w:pPr>
                  <w:r>
                    <w:rPr>
                      <w:i/>
                    </w:rPr>
                    <w:t>p</w:t>
                  </w:r>
                </w:p>
              </w:tc>
              <w:tc>
                <w:tcPr>
                  <w:tcW w:w="1551" w:type="dxa"/>
                  <w:tcBorders>
                    <w:top w:val="single" w:sz="6" w:space="0" w:color="auto"/>
                    <w:left w:val="single" w:sz="6" w:space="0" w:color="auto"/>
                    <w:bottom w:val="single" w:sz="6" w:space="0" w:color="auto"/>
                    <w:right w:val="single" w:sz="6" w:space="0" w:color="auto"/>
                  </w:tcBorders>
                </w:tcPr>
                <w:p w14:paraId="50A45D44" w14:textId="77777777" w:rsidR="00EB0777" w:rsidRPr="00244E51" w:rsidRDefault="00EB0777" w:rsidP="00655871">
                  <w:pPr>
                    <w:pStyle w:val="Tabletext"/>
                    <w:jc w:val="center"/>
                  </w:pPr>
                  <w:r>
                    <w:t>%</w:t>
                  </w:r>
                </w:p>
              </w:tc>
              <w:tc>
                <w:tcPr>
                  <w:tcW w:w="1551" w:type="dxa"/>
                  <w:tcBorders>
                    <w:top w:val="single" w:sz="6" w:space="0" w:color="auto"/>
                    <w:left w:val="single" w:sz="6" w:space="0" w:color="auto"/>
                    <w:bottom w:val="single" w:sz="6" w:space="0" w:color="auto"/>
                    <w:right w:val="single" w:sz="6" w:space="0" w:color="auto"/>
                  </w:tcBorders>
                </w:tcPr>
                <w:p w14:paraId="4C9AC920" w14:textId="77777777" w:rsidR="00EB0777" w:rsidRDefault="00EB0777" w:rsidP="00655871">
                  <w:pPr>
                    <w:pStyle w:val="Tabletext"/>
                    <w:jc w:val="center"/>
                    <w:rPr>
                      <w:lang w:eastAsia="zh-CN"/>
                    </w:rPr>
                  </w:pPr>
                  <w:r>
                    <w:rPr>
                      <w:lang w:eastAsia="zh-CN"/>
                    </w:rPr>
                    <w:t xml:space="preserve">Propose to use </w:t>
                  </w:r>
                  <w:r>
                    <w:rPr>
                      <w:rFonts w:hint="eastAsia"/>
                      <w:lang w:eastAsia="zh-CN"/>
                    </w:rPr>
                    <w:t>50</w:t>
                  </w:r>
                  <w:r>
                    <w:rPr>
                      <w:lang w:eastAsia="zh-CN"/>
                    </w:rPr>
                    <w:t>% as median case</w:t>
                  </w:r>
                </w:p>
              </w:tc>
            </w:tr>
          </w:tbl>
          <w:p w14:paraId="750BC535" w14:textId="77777777" w:rsidR="00EB0777" w:rsidRPr="000777F1" w:rsidRDefault="00EB0777" w:rsidP="00655871">
            <w:pPr>
              <w:rPr>
                <w:b/>
                <w:lang w:val="fr-FR" w:eastAsia="zh-CN"/>
              </w:rPr>
            </w:pPr>
          </w:p>
        </w:tc>
      </w:tr>
    </w:tbl>
    <w:p w14:paraId="3968C19D" w14:textId="7036FD72" w:rsidR="00EB0777" w:rsidRDefault="00EB0777" w:rsidP="00BD3324">
      <w:pPr>
        <w:rPr>
          <w:b/>
          <w:lang w:val="sv-SE" w:eastAsia="zh-CN"/>
        </w:rPr>
      </w:pPr>
    </w:p>
    <w:p w14:paraId="30E4F192" w14:textId="77777777" w:rsidR="00EB0777" w:rsidRDefault="00EB0777" w:rsidP="00EB0777">
      <w:pPr>
        <w:rPr>
          <w:lang w:val="sv-SE" w:eastAsia="zh-CN"/>
        </w:rPr>
      </w:pPr>
      <w:r>
        <w:rPr>
          <w:lang w:val="sv-SE" w:eastAsia="zh-CN"/>
        </w:rPr>
        <w:t>Observation 4: The NTN SAN parameters, including EIRP and rest, are still missing, and pending for input from satellite companies.</w:t>
      </w:r>
    </w:p>
    <w:p w14:paraId="5A14488D" w14:textId="77777777" w:rsidR="00EB0777" w:rsidRPr="00990234" w:rsidRDefault="00EB0777" w:rsidP="00EB0777">
      <w:pPr>
        <w:rPr>
          <w:b/>
          <w:lang w:val="sv-SE" w:eastAsia="zh-CN"/>
        </w:rPr>
      </w:pPr>
      <w:r w:rsidRPr="00990234">
        <w:rPr>
          <w:b/>
          <w:lang w:val="sv-SE" w:eastAsia="zh-CN"/>
        </w:rPr>
        <w:t xml:space="preserve">Proposal </w:t>
      </w:r>
      <w:r>
        <w:rPr>
          <w:b/>
          <w:lang w:val="sv-SE" w:eastAsia="zh-CN"/>
        </w:rPr>
        <w:t>4</w:t>
      </w:r>
      <w:r w:rsidRPr="00990234">
        <w:rPr>
          <w:b/>
          <w:lang w:val="sv-SE" w:eastAsia="zh-CN"/>
        </w:rPr>
        <w:t xml:space="preserve">: </w:t>
      </w:r>
      <w:r>
        <w:rPr>
          <w:b/>
          <w:lang w:val="sv-SE" w:eastAsia="zh-CN"/>
        </w:rPr>
        <w:t>To encourage companies to contribute missing parameters for NTN SAN in Ku-band.</w:t>
      </w:r>
    </w:p>
    <w:p w14:paraId="08A5E5D2" w14:textId="5730333F" w:rsidR="00EB0777" w:rsidRDefault="00EB0777" w:rsidP="00BD3324">
      <w:pPr>
        <w:rPr>
          <w:b/>
          <w:lang w:val="sv-SE" w:eastAsia="zh-CN"/>
        </w:rPr>
      </w:pPr>
    </w:p>
    <w:p w14:paraId="2E74F656" w14:textId="77777777" w:rsidR="00EB0777" w:rsidRDefault="00EB0777" w:rsidP="00EB0777">
      <w:pPr>
        <w:rPr>
          <w:lang w:val="sv-SE" w:eastAsia="zh-CN"/>
        </w:rPr>
      </w:pPr>
      <w:r w:rsidRPr="00990234">
        <w:rPr>
          <w:b/>
          <w:lang w:val="sv-SE" w:eastAsia="zh-CN"/>
        </w:rPr>
        <w:t>Observation 5</w:t>
      </w:r>
      <w:r>
        <w:rPr>
          <w:lang w:val="sv-SE" w:eastAsia="zh-CN"/>
        </w:rPr>
        <w:t>: The NTN VSAT antenna assumption using section 6.4.1 of TR 38.811 only applies to the mechanical steering VSAT, it’s better to have a separated and dedicated antenna pattern for electrical steering VSAT.</w:t>
      </w:r>
    </w:p>
    <w:p w14:paraId="6F2AD28C" w14:textId="2E506652" w:rsidR="00EB0777" w:rsidRPr="00EB0777" w:rsidRDefault="00EB0777" w:rsidP="00BD3324">
      <w:pPr>
        <w:rPr>
          <w:b/>
          <w:lang w:val="sv-SE" w:eastAsia="zh-CN"/>
        </w:rPr>
      </w:pPr>
      <w:r w:rsidRPr="00990234">
        <w:rPr>
          <w:b/>
          <w:lang w:val="sv-SE" w:eastAsia="zh-CN"/>
        </w:rPr>
        <w:t xml:space="preserve">Proposal </w:t>
      </w:r>
      <w:r>
        <w:rPr>
          <w:b/>
          <w:lang w:val="sv-SE" w:eastAsia="zh-CN"/>
        </w:rPr>
        <w:t>5</w:t>
      </w:r>
      <w:r w:rsidRPr="00990234">
        <w:rPr>
          <w:b/>
          <w:lang w:val="sv-SE" w:eastAsia="zh-CN"/>
        </w:rPr>
        <w:t xml:space="preserve">: </w:t>
      </w:r>
      <w:r>
        <w:rPr>
          <w:b/>
          <w:lang w:val="sv-SE" w:eastAsia="zh-CN"/>
        </w:rPr>
        <w:t>To encourage companies to provide antenna model/pattern for electrical steering VSAT for Ku-band.</w:t>
      </w:r>
    </w:p>
    <w:p w14:paraId="154635DA" w14:textId="4C2B8EC0" w:rsidR="002D7346" w:rsidRPr="0042663F" w:rsidRDefault="00990234" w:rsidP="002D7346">
      <w:pPr>
        <w:pStyle w:val="1"/>
        <w:jc w:val="both"/>
        <w:rPr>
          <w:lang w:val="en-US"/>
        </w:rPr>
      </w:pPr>
      <w:r>
        <w:rPr>
          <w:lang w:val="en-US"/>
        </w:rPr>
        <w:t>4</w:t>
      </w:r>
      <w:r w:rsidR="002D7346">
        <w:rPr>
          <w:lang w:val="en-US"/>
        </w:rPr>
        <w:tab/>
      </w:r>
      <w:r w:rsidR="002D7346" w:rsidRPr="0042663F">
        <w:rPr>
          <w:lang w:val="en-US"/>
        </w:rPr>
        <w:t>Reference</w:t>
      </w:r>
    </w:p>
    <w:p w14:paraId="5D7307DC" w14:textId="7ECD53F6" w:rsidR="00852FE5" w:rsidRDefault="002D7346" w:rsidP="00076746">
      <w:pPr>
        <w:rPr>
          <w:sz w:val="18"/>
          <w:szCs w:val="18"/>
          <w:lang w:val="en-US" w:eastAsia="zh-CN"/>
        </w:rPr>
      </w:pPr>
      <w:r w:rsidRPr="00A67306">
        <w:rPr>
          <w:sz w:val="18"/>
          <w:szCs w:val="18"/>
          <w:lang w:val="en-US" w:eastAsia="zh-CN"/>
        </w:rPr>
        <w:t>[1] R</w:t>
      </w:r>
      <w:r w:rsidR="00AA45FC">
        <w:rPr>
          <w:sz w:val="18"/>
          <w:szCs w:val="18"/>
          <w:lang w:val="en-US" w:eastAsia="zh-CN"/>
        </w:rPr>
        <w:t>4-2410567</w:t>
      </w:r>
      <w:r w:rsidRPr="00A67306">
        <w:rPr>
          <w:sz w:val="18"/>
          <w:szCs w:val="18"/>
          <w:lang w:val="en-US" w:eastAsia="zh-CN"/>
        </w:rPr>
        <w:t xml:space="preserve">, </w:t>
      </w:r>
      <w:r w:rsidR="00AA45FC">
        <w:rPr>
          <w:sz w:val="18"/>
          <w:szCs w:val="18"/>
          <w:lang w:val="en-US" w:eastAsia="zh-CN"/>
        </w:rPr>
        <w:t xml:space="preserve">WF </w:t>
      </w:r>
      <w:r w:rsidR="00843421">
        <w:rPr>
          <w:sz w:val="18"/>
          <w:szCs w:val="18"/>
          <w:lang w:val="en-US" w:eastAsia="zh-CN"/>
        </w:rPr>
        <w:t>for [112][314] NR_NTN_Ku_Band_General</w:t>
      </w:r>
      <w:r w:rsidR="00AA45FC">
        <w:rPr>
          <w:sz w:val="18"/>
          <w:szCs w:val="18"/>
          <w:lang w:val="en-US" w:eastAsia="zh-CN"/>
        </w:rPr>
        <w:t xml:space="preserve">, </w:t>
      </w:r>
      <w:r w:rsidR="00843421">
        <w:rPr>
          <w:sz w:val="18"/>
          <w:szCs w:val="18"/>
          <w:lang w:val="en-US" w:eastAsia="zh-CN"/>
        </w:rPr>
        <w:t>Eutelsat</w:t>
      </w:r>
    </w:p>
    <w:p w14:paraId="345DE1C6" w14:textId="6FE3D2AF" w:rsidR="007A2D2A" w:rsidRDefault="007A2D2A" w:rsidP="00076746">
      <w:pPr>
        <w:rPr>
          <w:sz w:val="18"/>
          <w:szCs w:val="18"/>
          <w:lang w:val="en-US" w:eastAsia="zh-CN"/>
        </w:rPr>
      </w:pPr>
      <w:r>
        <w:rPr>
          <w:sz w:val="18"/>
          <w:szCs w:val="18"/>
          <w:lang w:val="en-US" w:eastAsia="zh-CN"/>
        </w:rPr>
        <w:t xml:space="preserve">[2] </w:t>
      </w:r>
      <w:r w:rsidR="00843421">
        <w:rPr>
          <w:sz w:val="18"/>
          <w:szCs w:val="18"/>
          <w:lang w:val="en-US" w:eastAsia="zh-CN"/>
        </w:rPr>
        <w:t>Recommendation ITU-R P.2108-1 (09/2021)</w:t>
      </w:r>
      <w:r>
        <w:rPr>
          <w:sz w:val="18"/>
          <w:szCs w:val="18"/>
          <w:lang w:val="en-US" w:eastAsia="zh-CN"/>
        </w:rPr>
        <w:t xml:space="preserve">, </w:t>
      </w:r>
      <w:r w:rsidR="00843421">
        <w:rPr>
          <w:sz w:val="18"/>
          <w:szCs w:val="18"/>
          <w:lang w:val="en-US" w:eastAsia="zh-CN"/>
        </w:rPr>
        <w:t>ITU-R</w:t>
      </w:r>
    </w:p>
    <w:p w14:paraId="76BE3F2E" w14:textId="3E01B792" w:rsidR="007A2D2A" w:rsidRDefault="007A2D2A" w:rsidP="00076746">
      <w:pPr>
        <w:rPr>
          <w:sz w:val="18"/>
          <w:szCs w:val="18"/>
          <w:lang w:val="en-US" w:eastAsia="zh-CN"/>
        </w:rPr>
      </w:pPr>
      <w:r>
        <w:rPr>
          <w:sz w:val="18"/>
          <w:szCs w:val="18"/>
          <w:lang w:val="en-US" w:eastAsia="zh-CN"/>
        </w:rPr>
        <w:t xml:space="preserve">[3] </w:t>
      </w:r>
      <w:r w:rsidR="0091510A">
        <w:rPr>
          <w:sz w:val="18"/>
          <w:szCs w:val="18"/>
          <w:lang w:val="en-US" w:eastAsia="zh-CN"/>
        </w:rPr>
        <w:t>R4-2412560, Discussion on Ku-band coex studies, Samsung</w:t>
      </w:r>
    </w:p>
    <w:p w14:paraId="62EC2338" w14:textId="55D896C0" w:rsidR="0029380F" w:rsidRDefault="0029380F" w:rsidP="00076746">
      <w:pPr>
        <w:rPr>
          <w:sz w:val="18"/>
          <w:szCs w:val="18"/>
          <w:lang w:val="en-US" w:eastAsia="zh-CN"/>
        </w:rPr>
      </w:pPr>
      <w:r>
        <w:rPr>
          <w:sz w:val="18"/>
          <w:szCs w:val="18"/>
          <w:lang w:val="en-US" w:eastAsia="zh-CN"/>
        </w:rPr>
        <w:t>[4] R4-2411120, Discussion on coexistence evaluation for Ku-band for NR NTN, CATT</w:t>
      </w:r>
    </w:p>
    <w:p w14:paraId="3E11FE9A" w14:textId="7AAC395D" w:rsidR="0029380F" w:rsidRPr="0062060A" w:rsidRDefault="0029380F" w:rsidP="00076746">
      <w:pPr>
        <w:rPr>
          <w:sz w:val="18"/>
          <w:szCs w:val="18"/>
          <w:lang w:val="en-US" w:eastAsia="zh-CN"/>
        </w:rPr>
      </w:pPr>
      <w:r>
        <w:rPr>
          <w:sz w:val="18"/>
          <w:szCs w:val="18"/>
          <w:lang w:val="en-US" w:eastAsia="zh-CN"/>
        </w:rPr>
        <w:t>[5] R4-2411507</w:t>
      </w:r>
      <w:r w:rsidR="0043511D">
        <w:rPr>
          <w:sz w:val="18"/>
          <w:szCs w:val="18"/>
          <w:lang w:val="en-US" w:eastAsia="zh-CN"/>
        </w:rPr>
        <w:t>, Ku band co-existence, Intelsat</w:t>
      </w:r>
    </w:p>
    <w:sectPr w:rsidR="0029380F" w:rsidRPr="0062060A"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6707C" w14:textId="77777777" w:rsidR="00BE2599" w:rsidRDefault="00BE2599" w:rsidP="006165E1">
      <w:pPr>
        <w:spacing w:after="0"/>
      </w:pPr>
      <w:r>
        <w:separator/>
      </w:r>
    </w:p>
  </w:endnote>
  <w:endnote w:type="continuationSeparator" w:id="0">
    <w:p w14:paraId="143A0CD7" w14:textId="77777777" w:rsidR="00BE2599" w:rsidRDefault="00BE2599"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536B3" w14:textId="77777777" w:rsidR="00BE2599" w:rsidRDefault="00BE2599" w:rsidP="006165E1">
      <w:pPr>
        <w:spacing w:after="0"/>
      </w:pPr>
      <w:r>
        <w:separator/>
      </w:r>
    </w:p>
  </w:footnote>
  <w:footnote w:type="continuationSeparator" w:id="0">
    <w:p w14:paraId="4B0AADA9" w14:textId="77777777" w:rsidR="00BE2599" w:rsidRDefault="00BE2599"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40"/>
  </w:num>
  <w:num w:numId="3">
    <w:abstractNumId w:val="0"/>
  </w:num>
  <w:num w:numId="4">
    <w:abstractNumId w:val="32"/>
  </w:num>
  <w:num w:numId="5">
    <w:abstractNumId w:val="30"/>
  </w:num>
  <w:num w:numId="6">
    <w:abstractNumId w:val="25"/>
  </w:num>
  <w:num w:numId="7">
    <w:abstractNumId w:val="26"/>
  </w:num>
  <w:num w:numId="8">
    <w:abstractNumId w:val="15"/>
  </w:num>
  <w:num w:numId="9">
    <w:abstractNumId w:val="31"/>
  </w:num>
  <w:num w:numId="10">
    <w:abstractNumId w:val="45"/>
  </w:num>
  <w:num w:numId="11">
    <w:abstractNumId w:val="9"/>
  </w:num>
  <w:num w:numId="12">
    <w:abstractNumId w:val="18"/>
  </w:num>
  <w:num w:numId="13">
    <w:abstractNumId w:val="10"/>
  </w:num>
  <w:num w:numId="14">
    <w:abstractNumId w:val="28"/>
  </w:num>
  <w:num w:numId="15">
    <w:abstractNumId w:val="16"/>
  </w:num>
  <w:num w:numId="16">
    <w:abstractNumId w:val="20"/>
  </w:num>
  <w:num w:numId="17">
    <w:abstractNumId w:val="27"/>
  </w:num>
  <w:num w:numId="18">
    <w:abstractNumId w:val="35"/>
  </w:num>
  <w:num w:numId="19">
    <w:abstractNumId w:val="3"/>
  </w:num>
  <w:num w:numId="20">
    <w:abstractNumId w:val="33"/>
  </w:num>
  <w:num w:numId="21">
    <w:abstractNumId w:val="5"/>
  </w:num>
  <w:num w:numId="22">
    <w:abstractNumId w:val="4"/>
  </w:num>
  <w:num w:numId="23">
    <w:abstractNumId w:val="39"/>
  </w:num>
  <w:num w:numId="24">
    <w:abstractNumId w:val="38"/>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3"/>
  </w:num>
  <w:num w:numId="27">
    <w:abstractNumId w:val="46"/>
  </w:num>
  <w:num w:numId="28">
    <w:abstractNumId w:val="36"/>
  </w:num>
  <w:num w:numId="29">
    <w:abstractNumId w:val="29"/>
  </w:num>
  <w:num w:numId="30">
    <w:abstractNumId w:val="17"/>
  </w:num>
  <w:num w:numId="31">
    <w:abstractNumId w:val="41"/>
  </w:num>
  <w:num w:numId="32">
    <w:abstractNumId w:val="19"/>
  </w:num>
  <w:num w:numId="33">
    <w:abstractNumId w:val="1"/>
  </w:num>
  <w:num w:numId="34">
    <w:abstractNumId w:val="14"/>
  </w:num>
  <w:num w:numId="35">
    <w:abstractNumId w:val="8"/>
  </w:num>
  <w:num w:numId="36">
    <w:abstractNumId w:val="6"/>
  </w:num>
  <w:num w:numId="37">
    <w:abstractNumId w:val="12"/>
  </w:num>
  <w:num w:numId="38">
    <w:abstractNumId w:val="44"/>
  </w:num>
  <w:num w:numId="39">
    <w:abstractNumId w:val="13"/>
  </w:num>
  <w:num w:numId="40">
    <w:abstractNumId w:val="11"/>
  </w:num>
  <w:num w:numId="41">
    <w:abstractNumId w:val="34"/>
  </w:num>
  <w:num w:numId="42">
    <w:abstractNumId w:val="2"/>
  </w:num>
  <w:num w:numId="43">
    <w:abstractNumId w:val="42"/>
  </w:num>
  <w:num w:numId="44">
    <w:abstractNumId w:val="22"/>
  </w:num>
  <w:num w:numId="45">
    <w:abstractNumId w:val="7"/>
  </w:num>
  <w:num w:numId="46">
    <w:abstractNumId w:val="43"/>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47CE"/>
    <w:rsid w:val="00074BC9"/>
    <w:rsid w:val="000761DD"/>
    <w:rsid w:val="00076746"/>
    <w:rsid w:val="000777F1"/>
    <w:rsid w:val="00084121"/>
    <w:rsid w:val="0008662F"/>
    <w:rsid w:val="00087C16"/>
    <w:rsid w:val="00092C90"/>
    <w:rsid w:val="000A2D5A"/>
    <w:rsid w:val="000A62F0"/>
    <w:rsid w:val="000A66B6"/>
    <w:rsid w:val="000B0F0F"/>
    <w:rsid w:val="000B39D7"/>
    <w:rsid w:val="000B500E"/>
    <w:rsid w:val="000D2169"/>
    <w:rsid w:val="000D5AC6"/>
    <w:rsid w:val="000E7E6F"/>
    <w:rsid w:val="001019D0"/>
    <w:rsid w:val="001045CF"/>
    <w:rsid w:val="00111B5C"/>
    <w:rsid w:val="00113700"/>
    <w:rsid w:val="001157B3"/>
    <w:rsid w:val="00117B0A"/>
    <w:rsid w:val="00121402"/>
    <w:rsid w:val="00125501"/>
    <w:rsid w:val="00137303"/>
    <w:rsid w:val="001469E5"/>
    <w:rsid w:val="00167EEB"/>
    <w:rsid w:val="00170A1E"/>
    <w:rsid w:val="00182F5C"/>
    <w:rsid w:val="001852D3"/>
    <w:rsid w:val="001A3FB5"/>
    <w:rsid w:val="001B0673"/>
    <w:rsid w:val="001B593C"/>
    <w:rsid w:val="001B6EBE"/>
    <w:rsid w:val="001C1FE2"/>
    <w:rsid w:val="001C2C3B"/>
    <w:rsid w:val="001D12C7"/>
    <w:rsid w:val="001D1C53"/>
    <w:rsid w:val="001D28D3"/>
    <w:rsid w:val="001D759D"/>
    <w:rsid w:val="001E2428"/>
    <w:rsid w:val="001F11C7"/>
    <w:rsid w:val="001F4D9D"/>
    <w:rsid w:val="001F62FC"/>
    <w:rsid w:val="00213C59"/>
    <w:rsid w:val="00216843"/>
    <w:rsid w:val="00231CC1"/>
    <w:rsid w:val="00236C4A"/>
    <w:rsid w:val="002458C8"/>
    <w:rsid w:val="00245A6E"/>
    <w:rsid w:val="002523E5"/>
    <w:rsid w:val="00253F79"/>
    <w:rsid w:val="0025747D"/>
    <w:rsid w:val="0026687D"/>
    <w:rsid w:val="0026693D"/>
    <w:rsid w:val="002673D3"/>
    <w:rsid w:val="0027793E"/>
    <w:rsid w:val="00280C3B"/>
    <w:rsid w:val="00283DA2"/>
    <w:rsid w:val="0028586C"/>
    <w:rsid w:val="00285F5F"/>
    <w:rsid w:val="0029380F"/>
    <w:rsid w:val="00297370"/>
    <w:rsid w:val="002A4E5D"/>
    <w:rsid w:val="002B2A9B"/>
    <w:rsid w:val="002B2DCA"/>
    <w:rsid w:val="002B35A3"/>
    <w:rsid w:val="002B3F19"/>
    <w:rsid w:val="002B4A4E"/>
    <w:rsid w:val="002C528E"/>
    <w:rsid w:val="002C7B77"/>
    <w:rsid w:val="002D2A0C"/>
    <w:rsid w:val="002D7346"/>
    <w:rsid w:val="002E2852"/>
    <w:rsid w:val="002E4648"/>
    <w:rsid w:val="002F2585"/>
    <w:rsid w:val="002F40A7"/>
    <w:rsid w:val="002F4438"/>
    <w:rsid w:val="002F44EF"/>
    <w:rsid w:val="002F6239"/>
    <w:rsid w:val="00300E16"/>
    <w:rsid w:val="0030508F"/>
    <w:rsid w:val="0030663C"/>
    <w:rsid w:val="00310587"/>
    <w:rsid w:val="003168C7"/>
    <w:rsid w:val="00325A14"/>
    <w:rsid w:val="0033218E"/>
    <w:rsid w:val="003453D1"/>
    <w:rsid w:val="00356FF3"/>
    <w:rsid w:val="00366B81"/>
    <w:rsid w:val="003676AB"/>
    <w:rsid w:val="003813E5"/>
    <w:rsid w:val="00383A21"/>
    <w:rsid w:val="00386DF4"/>
    <w:rsid w:val="00387B65"/>
    <w:rsid w:val="00393D9C"/>
    <w:rsid w:val="003A2C1B"/>
    <w:rsid w:val="003A39AE"/>
    <w:rsid w:val="003B1928"/>
    <w:rsid w:val="003B2BFF"/>
    <w:rsid w:val="003B46EC"/>
    <w:rsid w:val="003C15F9"/>
    <w:rsid w:val="003C40AC"/>
    <w:rsid w:val="003C6A2A"/>
    <w:rsid w:val="003D04FF"/>
    <w:rsid w:val="003D1CCF"/>
    <w:rsid w:val="003D7DDE"/>
    <w:rsid w:val="003E23C3"/>
    <w:rsid w:val="003E2F2D"/>
    <w:rsid w:val="003F3C93"/>
    <w:rsid w:val="004021D1"/>
    <w:rsid w:val="00406D22"/>
    <w:rsid w:val="00406F86"/>
    <w:rsid w:val="00412E23"/>
    <w:rsid w:val="004137CD"/>
    <w:rsid w:val="0042293C"/>
    <w:rsid w:val="004249FC"/>
    <w:rsid w:val="00424BF4"/>
    <w:rsid w:val="004267D5"/>
    <w:rsid w:val="004346B5"/>
    <w:rsid w:val="0043511D"/>
    <w:rsid w:val="00435458"/>
    <w:rsid w:val="004418D4"/>
    <w:rsid w:val="00452AC3"/>
    <w:rsid w:val="00457292"/>
    <w:rsid w:val="0045780A"/>
    <w:rsid w:val="00457ACF"/>
    <w:rsid w:val="00457F45"/>
    <w:rsid w:val="0046573E"/>
    <w:rsid w:val="00465F0C"/>
    <w:rsid w:val="00472F60"/>
    <w:rsid w:val="00474FCF"/>
    <w:rsid w:val="004922DE"/>
    <w:rsid w:val="0049313B"/>
    <w:rsid w:val="004932A7"/>
    <w:rsid w:val="004A139B"/>
    <w:rsid w:val="004A1D6C"/>
    <w:rsid w:val="004A3216"/>
    <w:rsid w:val="004B0981"/>
    <w:rsid w:val="004B2C6F"/>
    <w:rsid w:val="004B54EE"/>
    <w:rsid w:val="004E67B5"/>
    <w:rsid w:val="004F4EE5"/>
    <w:rsid w:val="004F6D35"/>
    <w:rsid w:val="00503A7B"/>
    <w:rsid w:val="00504FEF"/>
    <w:rsid w:val="005060A4"/>
    <w:rsid w:val="00515955"/>
    <w:rsid w:val="00517AC1"/>
    <w:rsid w:val="00536915"/>
    <w:rsid w:val="00537B87"/>
    <w:rsid w:val="005456F0"/>
    <w:rsid w:val="00547CAD"/>
    <w:rsid w:val="00556B7A"/>
    <w:rsid w:val="00561FF8"/>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F0936"/>
    <w:rsid w:val="005F1C54"/>
    <w:rsid w:val="005F1DCE"/>
    <w:rsid w:val="005F4EB2"/>
    <w:rsid w:val="005F57BB"/>
    <w:rsid w:val="005F621C"/>
    <w:rsid w:val="006039E6"/>
    <w:rsid w:val="00606B70"/>
    <w:rsid w:val="006165E1"/>
    <w:rsid w:val="00616EB0"/>
    <w:rsid w:val="0062060A"/>
    <w:rsid w:val="00622675"/>
    <w:rsid w:val="00622CF2"/>
    <w:rsid w:val="006308E1"/>
    <w:rsid w:val="00640D73"/>
    <w:rsid w:val="006412B1"/>
    <w:rsid w:val="00641CA5"/>
    <w:rsid w:val="006427A8"/>
    <w:rsid w:val="0064471C"/>
    <w:rsid w:val="006540F2"/>
    <w:rsid w:val="006553F2"/>
    <w:rsid w:val="00665DEF"/>
    <w:rsid w:val="00673034"/>
    <w:rsid w:val="0068031F"/>
    <w:rsid w:val="00684398"/>
    <w:rsid w:val="006924D0"/>
    <w:rsid w:val="006A42EE"/>
    <w:rsid w:val="006A5323"/>
    <w:rsid w:val="006A6BBE"/>
    <w:rsid w:val="006B26E6"/>
    <w:rsid w:val="006C0AE1"/>
    <w:rsid w:val="006C178C"/>
    <w:rsid w:val="006C74F2"/>
    <w:rsid w:val="006D53CD"/>
    <w:rsid w:val="006D77DC"/>
    <w:rsid w:val="006E7BB8"/>
    <w:rsid w:val="006F722C"/>
    <w:rsid w:val="007123A0"/>
    <w:rsid w:val="0071744B"/>
    <w:rsid w:val="00717CA0"/>
    <w:rsid w:val="00723E5F"/>
    <w:rsid w:val="00724458"/>
    <w:rsid w:val="00724C05"/>
    <w:rsid w:val="00727A35"/>
    <w:rsid w:val="00727BFD"/>
    <w:rsid w:val="007305D9"/>
    <w:rsid w:val="00731E20"/>
    <w:rsid w:val="0073665F"/>
    <w:rsid w:val="00737D80"/>
    <w:rsid w:val="00744516"/>
    <w:rsid w:val="0076153D"/>
    <w:rsid w:val="0076472B"/>
    <w:rsid w:val="00766576"/>
    <w:rsid w:val="007712B3"/>
    <w:rsid w:val="00774444"/>
    <w:rsid w:val="00774626"/>
    <w:rsid w:val="00777EEF"/>
    <w:rsid w:val="00790A07"/>
    <w:rsid w:val="007A2D2A"/>
    <w:rsid w:val="007A77B2"/>
    <w:rsid w:val="007E0CCC"/>
    <w:rsid w:val="007E44A9"/>
    <w:rsid w:val="007E6DCB"/>
    <w:rsid w:val="007F18B3"/>
    <w:rsid w:val="007F578D"/>
    <w:rsid w:val="007F5DD2"/>
    <w:rsid w:val="007F6063"/>
    <w:rsid w:val="00806893"/>
    <w:rsid w:val="00815763"/>
    <w:rsid w:val="00815DE1"/>
    <w:rsid w:val="0081697C"/>
    <w:rsid w:val="00824F31"/>
    <w:rsid w:val="00835B1C"/>
    <w:rsid w:val="00843421"/>
    <w:rsid w:val="00850E13"/>
    <w:rsid w:val="00852FE5"/>
    <w:rsid w:val="00853C49"/>
    <w:rsid w:val="00857825"/>
    <w:rsid w:val="008726C7"/>
    <w:rsid w:val="00881CCD"/>
    <w:rsid w:val="00890CDE"/>
    <w:rsid w:val="00891C63"/>
    <w:rsid w:val="00892DC6"/>
    <w:rsid w:val="00893C8A"/>
    <w:rsid w:val="008A7BA9"/>
    <w:rsid w:val="008B2E9F"/>
    <w:rsid w:val="008B3E51"/>
    <w:rsid w:val="008C6750"/>
    <w:rsid w:val="008D0588"/>
    <w:rsid w:val="008D2DC6"/>
    <w:rsid w:val="008D58B4"/>
    <w:rsid w:val="008E1CED"/>
    <w:rsid w:val="008E343E"/>
    <w:rsid w:val="008F08D0"/>
    <w:rsid w:val="008F2706"/>
    <w:rsid w:val="00901346"/>
    <w:rsid w:val="0090321C"/>
    <w:rsid w:val="00914ABF"/>
    <w:rsid w:val="0091510A"/>
    <w:rsid w:val="009238B9"/>
    <w:rsid w:val="00926389"/>
    <w:rsid w:val="009354CE"/>
    <w:rsid w:val="00935E78"/>
    <w:rsid w:val="0093677B"/>
    <w:rsid w:val="00940222"/>
    <w:rsid w:val="00942BB3"/>
    <w:rsid w:val="009458C1"/>
    <w:rsid w:val="00953A50"/>
    <w:rsid w:val="00961595"/>
    <w:rsid w:val="009748BF"/>
    <w:rsid w:val="00990234"/>
    <w:rsid w:val="009A7CA7"/>
    <w:rsid w:val="009B12AF"/>
    <w:rsid w:val="009B5839"/>
    <w:rsid w:val="009C6211"/>
    <w:rsid w:val="009D3239"/>
    <w:rsid w:val="009E4EB9"/>
    <w:rsid w:val="009E7B7F"/>
    <w:rsid w:val="00A01ADF"/>
    <w:rsid w:val="00A03687"/>
    <w:rsid w:val="00A047C0"/>
    <w:rsid w:val="00A0759E"/>
    <w:rsid w:val="00A22A01"/>
    <w:rsid w:val="00A3370F"/>
    <w:rsid w:val="00A3704C"/>
    <w:rsid w:val="00A37739"/>
    <w:rsid w:val="00A4082E"/>
    <w:rsid w:val="00A46DB4"/>
    <w:rsid w:val="00A50FCE"/>
    <w:rsid w:val="00A538F5"/>
    <w:rsid w:val="00A57AC6"/>
    <w:rsid w:val="00A71C58"/>
    <w:rsid w:val="00A83FF5"/>
    <w:rsid w:val="00A84450"/>
    <w:rsid w:val="00A84FB4"/>
    <w:rsid w:val="00A85911"/>
    <w:rsid w:val="00AA0044"/>
    <w:rsid w:val="00AA2538"/>
    <w:rsid w:val="00AA391F"/>
    <w:rsid w:val="00AA3C9A"/>
    <w:rsid w:val="00AA45FC"/>
    <w:rsid w:val="00AB5D8F"/>
    <w:rsid w:val="00AB7619"/>
    <w:rsid w:val="00AC49ED"/>
    <w:rsid w:val="00AD5F6F"/>
    <w:rsid w:val="00AF0516"/>
    <w:rsid w:val="00AF6549"/>
    <w:rsid w:val="00B01D7A"/>
    <w:rsid w:val="00B04C4C"/>
    <w:rsid w:val="00B1135A"/>
    <w:rsid w:val="00B15694"/>
    <w:rsid w:val="00B27161"/>
    <w:rsid w:val="00B303FA"/>
    <w:rsid w:val="00B3155B"/>
    <w:rsid w:val="00B37695"/>
    <w:rsid w:val="00B42D8C"/>
    <w:rsid w:val="00B45152"/>
    <w:rsid w:val="00B46BCB"/>
    <w:rsid w:val="00B738EA"/>
    <w:rsid w:val="00B77E7F"/>
    <w:rsid w:val="00B80475"/>
    <w:rsid w:val="00B863AD"/>
    <w:rsid w:val="00B86480"/>
    <w:rsid w:val="00B868AF"/>
    <w:rsid w:val="00BA50C6"/>
    <w:rsid w:val="00BA5849"/>
    <w:rsid w:val="00BB554C"/>
    <w:rsid w:val="00BC250E"/>
    <w:rsid w:val="00BC386A"/>
    <w:rsid w:val="00BC4F68"/>
    <w:rsid w:val="00BC50A1"/>
    <w:rsid w:val="00BC78F8"/>
    <w:rsid w:val="00BD3324"/>
    <w:rsid w:val="00BD5B4F"/>
    <w:rsid w:val="00BE1534"/>
    <w:rsid w:val="00BE2599"/>
    <w:rsid w:val="00BE68A6"/>
    <w:rsid w:val="00BF25C3"/>
    <w:rsid w:val="00BF48B2"/>
    <w:rsid w:val="00BF60BE"/>
    <w:rsid w:val="00BF775E"/>
    <w:rsid w:val="00C000F6"/>
    <w:rsid w:val="00C00D17"/>
    <w:rsid w:val="00C05B36"/>
    <w:rsid w:val="00C11F21"/>
    <w:rsid w:val="00C136AF"/>
    <w:rsid w:val="00C166B8"/>
    <w:rsid w:val="00C21FFA"/>
    <w:rsid w:val="00C26C33"/>
    <w:rsid w:val="00C32D18"/>
    <w:rsid w:val="00C33152"/>
    <w:rsid w:val="00C3747F"/>
    <w:rsid w:val="00C407D0"/>
    <w:rsid w:val="00C50838"/>
    <w:rsid w:val="00C5394A"/>
    <w:rsid w:val="00C726FA"/>
    <w:rsid w:val="00C73DD3"/>
    <w:rsid w:val="00C827A0"/>
    <w:rsid w:val="00C9207C"/>
    <w:rsid w:val="00C95266"/>
    <w:rsid w:val="00CA0DA8"/>
    <w:rsid w:val="00CA3F1D"/>
    <w:rsid w:val="00CA7FAB"/>
    <w:rsid w:val="00CB14A2"/>
    <w:rsid w:val="00CC3D43"/>
    <w:rsid w:val="00CC59B0"/>
    <w:rsid w:val="00CE1408"/>
    <w:rsid w:val="00CE66F3"/>
    <w:rsid w:val="00CF2A2A"/>
    <w:rsid w:val="00CF3C59"/>
    <w:rsid w:val="00CF4E9A"/>
    <w:rsid w:val="00D00A33"/>
    <w:rsid w:val="00D03C25"/>
    <w:rsid w:val="00D04E40"/>
    <w:rsid w:val="00D32ECF"/>
    <w:rsid w:val="00D370F0"/>
    <w:rsid w:val="00D45A56"/>
    <w:rsid w:val="00D45E13"/>
    <w:rsid w:val="00D6047E"/>
    <w:rsid w:val="00D61516"/>
    <w:rsid w:val="00D648AF"/>
    <w:rsid w:val="00D73218"/>
    <w:rsid w:val="00D74964"/>
    <w:rsid w:val="00D767F8"/>
    <w:rsid w:val="00D77500"/>
    <w:rsid w:val="00D81E6B"/>
    <w:rsid w:val="00D84F45"/>
    <w:rsid w:val="00D92D67"/>
    <w:rsid w:val="00DA169E"/>
    <w:rsid w:val="00DA49B8"/>
    <w:rsid w:val="00DB3232"/>
    <w:rsid w:val="00DC404D"/>
    <w:rsid w:val="00DC5AFF"/>
    <w:rsid w:val="00DD1856"/>
    <w:rsid w:val="00DD1B0E"/>
    <w:rsid w:val="00DD3C34"/>
    <w:rsid w:val="00DD448B"/>
    <w:rsid w:val="00DE1F84"/>
    <w:rsid w:val="00DE473D"/>
    <w:rsid w:val="00E036D1"/>
    <w:rsid w:val="00E33CA3"/>
    <w:rsid w:val="00E41394"/>
    <w:rsid w:val="00E50682"/>
    <w:rsid w:val="00E575FD"/>
    <w:rsid w:val="00E63CEC"/>
    <w:rsid w:val="00E65258"/>
    <w:rsid w:val="00E67235"/>
    <w:rsid w:val="00E716AA"/>
    <w:rsid w:val="00E76CC5"/>
    <w:rsid w:val="00E86048"/>
    <w:rsid w:val="00E95EAD"/>
    <w:rsid w:val="00E96736"/>
    <w:rsid w:val="00EB0777"/>
    <w:rsid w:val="00EB23AB"/>
    <w:rsid w:val="00EB640B"/>
    <w:rsid w:val="00EB76C3"/>
    <w:rsid w:val="00EC3848"/>
    <w:rsid w:val="00EC406E"/>
    <w:rsid w:val="00ED266F"/>
    <w:rsid w:val="00ED4EA2"/>
    <w:rsid w:val="00ED7043"/>
    <w:rsid w:val="00EE4986"/>
    <w:rsid w:val="00EE699C"/>
    <w:rsid w:val="00EE6E11"/>
    <w:rsid w:val="00EF015D"/>
    <w:rsid w:val="00EF101B"/>
    <w:rsid w:val="00EF2FD4"/>
    <w:rsid w:val="00EF3EFD"/>
    <w:rsid w:val="00EF5AFA"/>
    <w:rsid w:val="00EF66CF"/>
    <w:rsid w:val="00F0664E"/>
    <w:rsid w:val="00F07D16"/>
    <w:rsid w:val="00F24CA1"/>
    <w:rsid w:val="00F26F0D"/>
    <w:rsid w:val="00F345F3"/>
    <w:rsid w:val="00F36CEC"/>
    <w:rsid w:val="00F47451"/>
    <w:rsid w:val="00F54580"/>
    <w:rsid w:val="00F56038"/>
    <w:rsid w:val="00F5659D"/>
    <w:rsid w:val="00F645ED"/>
    <w:rsid w:val="00F7357C"/>
    <w:rsid w:val="00F73A2F"/>
    <w:rsid w:val="00F77D02"/>
    <w:rsid w:val="00F87CCC"/>
    <w:rsid w:val="00F93D7D"/>
    <w:rsid w:val="00FA081E"/>
    <w:rsid w:val="00FA2AB4"/>
    <w:rsid w:val="00FA30F9"/>
    <w:rsid w:val="00FA5E83"/>
    <w:rsid w:val="00FB3666"/>
    <w:rsid w:val="00FB5A93"/>
    <w:rsid w:val="00FB61E5"/>
    <w:rsid w:val="00FD3FF1"/>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777"/>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qFormat/>
    <w:rsid w:val="00285F5F"/>
    <w:pPr>
      <w:spacing w:before="100" w:beforeAutospacing="1" w:after="100" w:afterAutospacing="1"/>
    </w:pPr>
    <w:rPr>
      <w:rFonts w:eastAsia="Arial Unicode MS"/>
      <w:sz w:val="24"/>
      <w:szCs w:val="24"/>
    </w:rPr>
  </w:style>
  <w:style w:type="paragraph" w:customStyle="1" w:styleId="Tablefin">
    <w:name w:val="Table_fin"/>
    <w:basedOn w:val="a"/>
    <w:next w:val="a"/>
    <w:rsid w:val="003453D1"/>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rPr>
  </w:style>
  <w:style w:type="paragraph" w:customStyle="1" w:styleId="Tablehead">
    <w:name w:val="Table_head"/>
    <w:basedOn w:val="a"/>
    <w:next w:val="a"/>
    <w:link w:val="TableheadChar"/>
    <w:rsid w:val="003453D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paragraph" w:customStyle="1" w:styleId="TableNo">
    <w:name w:val="Table_No"/>
    <w:basedOn w:val="a"/>
    <w:next w:val="a"/>
    <w:link w:val="TableNoChar"/>
    <w:rsid w:val="003453D1"/>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paragraph" w:customStyle="1" w:styleId="Tabletext">
    <w:name w:val="Table_text"/>
    <w:basedOn w:val="a"/>
    <w:link w:val="TabletextChar"/>
    <w:rsid w:val="003453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heme="minorEastAsia"/>
      <w:sz w:val="22"/>
      <w:lang w:val="fr-FR"/>
    </w:rPr>
  </w:style>
  <w:style w:type="paragraph" w:customStyle="1" w:styleId="Equation">
    <w:name w:val="Equation"/>
    <w:basedOn w:val="a"/>
    <w:link w:val="EquationChar"/>
    <w:rsid w:val="003453D1"/>
    <w:pPr>
      <w:tabs>
        <w:tab w:val="left" w:pos="794"/>
        <w:tab w:val="center" w:pos="4820"/>
        <w:tab w:val="right" w:pos="9639"/>
      </w:tabs>
      <w:overflowPunct w:val="0"/>
      <w:autoSpaceDE w:val="0"/>
      <w:autoSpaceDN w:val="0"/>
      <w:adjustRightInd w:val="0"/>
      <w:spacing w:before="120" w:after="0"/>
      <w:jc w:val="both"/>
      <w:textAlignment w:val="baseline"/>
    </w:pPr>
    <w:rPr>
      <w:rFonts w:eastAsiaTheme="minorEastAsia"/>
      <w:sz w:val="24"/>
      <w:lang w:val="fr-FR"/>
    </w:rPr>
  </w:style>
  <w:style w:type="paragraph" w:customStyle="1" w:styleId="FigureNo">
    <w:name w:val="Figure_No"/>
    <w:basedOn w:val="a"/>
    <w:next w:val="Figuretitle"/>
    <w:rsid w:val="003453D1"/>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heme="minorEastAsia"/>
      <w:caps/>
      <w:sz w:val="18"/>
      <w:lang w:val="fr-FR"/>
    </w:rPr>
  </w:style>
  <w:style w:type="paragraph" w:customStyle="1" w:styleId="Figuretitle">
    <w:name w:val="Figure_title"/>
    <w:basedOn w:val="a"/>
    <w:next w:val="Figure"/>
    <w:rsid w:val="003453D1"/>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heme="minorEastAsia" w:hAnsi="Times New Roman Bold"/>
      <w:b/>
      <w:sz w:val="18"/>
      <w:lang w:val="fr-FR"/>
    </w:rPr>
  </w:style>
  <w:style w:type="paragraph" w:customStyle="1" w:styleId="Tabletitle">
    <w:name w:val="Table_title"/>
    <w:basedOn w:val="a"/>
    <w:next w:val="Tablehead"/>
    <w:link w:val="TabletitleChar"/>
    <w:rsid w:val="003453D1"/>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heme="minorEastAsia"/>
      <w:b/>
      <w:sz w:val="24"/>
      <w:lang w:val="fr-FR"/>
    </w:rPr>
  </w:style>
  <w:style w:type="paragraph" w:customStyle="1" w:styleId="Figure">
    <w:name w:val="Figure"/>
    <w:basedOn w:val="FigureNo"/>
    <w:next w:val="a"/>
    <w:rsid w:val="003453D1"/>
    <w:pPr>
      <w:keepNext w:val="0"/>
      <w:spacing w:before="0" w:after="240"/>
    </w:pPr>
  </w:style>
  <w:style w:type="character" w:customStyle="1" w:styleId="TableheadChar">
    <w:name w:val="Table_head Char"/>
    <w:basedOn w:val="a0"/>
    <w:link w:val="Tablehead"/>
    <w:locked/>
    <w:rsid w:val="003453D1"/>
    <w:rPr>
      <w:rFonts w:eastAsiaTheme="minorEastAsia"/>
      <w:b/>
      <w:sz w:val="22"/>
      <w:lang w:val="fr-FR"/>
    </w:rPr>
  </w:style>
  <w:style w:type="character" w:customStyle="1" w:styleId="TabletextChar">
    <w:name w:val="Table_text Char"/>
    <w:basedOn w:val="a0"/>
    <w:link w:val="Tabletext"/>
    <w:locked/>
    <w:rsid w:val="003453D1"/>
    <w:rPr>
      <w:rFonts w:eastAsiaTheme="minorEastAsia"/>
      <w:sz w:val="22"/>
      <w:lang w:val="fr-FR"/>
    </w:rPr>
  </w:style>
  <w:style w:type="character" w:customStyle="1" w:styleId="TableNoChar">
    <w:name w:val="Table_No Char"/>
    <w:link w:val="TableNo"/>
    <w:locked/>
    <w:rsid w:val="003453D1"/>
    <w:rPr>
      <w:rFonts w:eastAsiaTheme="minorEastAsia"/>
      <w:sz w:val="24"/>
      <w:lang w:val="fr-FR"/>
    </w:rPr>
  </w:style>
  <w:style w:type="character" w:customStyle="1" w:styleId="TabletitleChar">
    <w:name w:val="Table_title Char"/>
    <w:link w:val="Tabletitle"/>
    <w:locked/>
    <w:rsid w:val="003453D1"/>
    <w:rPr>
      <w:rFonts w:eastAsiaTheme="minorEastAsia"/>
      <w:b/>
      <w:sz w:val="24"/>
      <w:lang w:val="fr-FR"/>
    </w:rPr>
  </w:style>
  <w:style w:type="character" w:customStyle="1" w:styleId="EquationChar">
    <w:name w:val="Equation Char"/>
    <w:link w:val="Equation"/>
    <w:locked/>
    <w:rsid w:val="003453D1"/>
    <w:rPr>
      <w:rFonts w:eastAsiaTheme="minorEastAsia"/>
      <w:sz w:val="24"/>
      <w:lang w:val="fr-FR"/>
    </w:rPr>
  </w:style>
  <w:style w:type="paragraph" w:customStyle="1" w:styleId="MTDisplayEquation">
    <w:name w:val="MTDisplayEquation"/>
    <w:basedOn w:val="a"/>
    <w:next w:val="a"/>
    <w:link w:val="MTDisplayEquationChar"/>
    <w:rsid w:val="003453D1"/>
    <w:pPr>
      <w:tabs>
        <w:tab w:val="center" w:pos="4820"/>
        <w:tab w:val="right" w:pos="9640"/>
      </w:tabs>
      <w:overflowPunct w:val="0"/>
      <w:autoSpaceDE w:val="0"/>
      <w:autoSpaceDN w:val="0"/>
      <w:adjustRightInd w:val="0"/>
      <w:spacing w:before="120" w:after="0"/>
      <w:textAlignment w:val="baseline"/>
    </w:pPr>
    <w:rPr>
      <w:rFonts w:eastAsiaTheme="minorEastAsia"/>
      <w:sz w:val="24"/>
    </w:rPr>
  </w:style>
  <w:style w:type="character" w:customStyle="1" w:styleId="MTDisplayEquationChar">
    <w:name w:val="MTDisplayEquation Char"/>
    <w:basedOn w:val="a0"/>
    <w:link w:val="MTDisplayEquation"/>
    <w:rsid w:val="003453D1"/>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821</TotalTime>
  <Pages>5</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26</cp:revision>
  <dcterms:created xsi:type="dcterms:W3CDTF">2024-10-05T01:09:00Z</dcterms:created>
  <dcterms:modified xsi:type="dcterms:W3CDTF">2024-10-07T12:26:00Z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